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BF"/>
      </w:tblPr>
      <w:tblGrid>
        <w:gridCol w:w="2344"/>
        <w:gridCol w:w="7373"/>
      </w:tblGrid>
      <w:tr w:rsidR="004445C5" w:rsidRPr="005F2207" w:rsidTr="007F7F5F">
        <w:tc>
          <w:tcPr>
            <w:tcW w:w="2344" w:type="dxa"/>
          </w:tcPr>
          <w:p w:rsidR="004445C5" w:rsidRPr="005F2207" w:rsidRDefault="004445C5" w:rsidP="007F7F5F">
            <w:pPr>
              <w:pStyle w:val="Heading1"/>
              <w:rPr>
                <w:color w:val="auto"/>
              </w:rPr>
            </w:pPr>
          </w:p>
        </w:tc>
        <w:tc>
          <w:tcPr>
            <w:tcW w:w="7373" w:type="dxa"/>
          </w:tcPr>
          <w:p w:rsidR="004445C5" w:rsidRPr="005F2207" w:rsidRDefault="004445C5" w:rsidP="007F7F5F"/>
        </w:tc>
      </w:tr>
    </w:tbl>
    <w:p w:rsidR="004445C5" w:rsidRPr="005F2207" w:rsidRDefault="004445C5" w:rsidP="004445C5">
      <w:pPr>
        <w:rPr>
          <w:rFonts w:cs="Arial"/>
          <w:b/>
          <w:u w:val="single"/>
        </w:rPr>
      </w:pPr>
      <w:r w:rsidRPr="005F2207">
        <w:rPr>
          <w:rFonts w:cs="Arial"/>
          <w:b/>
          <w:u w:val="single"/>
        </w:rPr>
        <w:t xml:space="preserve">Amendments to JSE Listing Requirements to make provision for the BEE </w:t>
      </w:r>
      <w:r>
        <w:rPr>
          <w:rFonts w:cs="Arial"/>
          <w:b/>
          <w:u w:val="single"/>
        </w:rPr>
        <w:t>Segment</w:t>
      </w:r>
    </w:p>
    <w:p w:rsidR="004445C5" w:rsidRPr="005F2207" w:rsidRDefault="004445C5" w:rsidP="004445C5">
      <w:pPr>
        <w:rPr>
          <w:rFonts w:cs="Arial"/>
          <w:b/>
          <w:u w:val="single"/>
        </w:rPr>
      </w:pPr>
    </w:p>
    <w:p w:rsidR="004445C5" w:rsidRPr="005F2207" w:rsidRDefault="004445C5" w:rsidP="004445C5">
      <w:pPr>
        <w:rPr>
          <w:rFonts w:cs="Arial"/>
        </w:rPr>
      </w:pPr>
      <w:r w:rsidRPr="005F2207">
        <w:rPr>
          <w:rFonts w:cs="Arial"/>
        </w:rPr>
        <w:t xml:space="preserve">In light of the pending launch of the BEE </w:t>
      </w:r>
      <w:r>
        <w:rPr>
          <w:rFonts w:cs="Arial"/>
        </w:rPr>
        <w:t>Segment</w:t>
      </w:r>
      <w:r w:rsidRPr="005F2207">
        <w:rPr>
          <w:rFonts w:cs="Arial"/>
        </w:rPr>
        <w:t xml:space="preserve"> to facilitate trading of BEE shares, the JSE in consultation with various stakeholders herein proposes to make provision for requirements pertaining to the BEE </w:t>
      </w:r>
      <w:r>
        <w:rPr>
          <w:rFonts w:cs="Arial"/>
        </w:rPr>
        <w:t>Segment.</w:t>
      </w:r>
    </w:p>
    <w:p w:rsidR="004445C5" w:rsidRPr="005F2207" w:rsidRDefault="004445C5" w:rsidP="004445C5">
      <w:pPr>
        <w:rPr>
          <w:rFonts w:cs="Arial"/>
        </w:rPr>
      </w:pPr>
    </w:p>
    <w:p w:rsidR="004445C5" w:rsidRPr="005F2207" w:rsidRDefault="004445C5" w:rsidP="004445C5">
      <w:pPr>
        <w:rPr>
          <w:rFonts w:cs="Arial"/>
        </w:rPr>
      </w:pPr>
      <w:r w:rsidRPr="005F2207">
        <w:rPr>
          <w:rFonts w:cs="Arial"/>
        </w:rPr>
        <w:t>The addition</w:t>
      </w:r>
      <w:r w:rsidR="00F55972">
        <w:rPr>
          <w:rFonts w:cs="Arial"/>
        </w:rPr>
        <w:t>s</w:t>
      </w:r>
      <w:r w:rsidRPr="005F2207">
        <w:rPr>
          <w:rFonts w:cs="Arial"/>
        </w:rPr>
        <w:t xml:space="preserve"> to the Listing Requirements under Section 4 and definition section </w:t>
      </w:r>
      <w:r w:rsidR="00F55972">
        <w:rPr>
          <w:rFonts w:cs="Arial"/>
        </w:rPr>
        <w:t xml:space="preserve">are </w:t>
      </w:r>
      <w:r w:rsidRPr="005F2207">
        <w:rPr>
          <w:rFonts w:cs="Arial"/>
        </w:rPr>
        <w:t>as follows;</w:t>
      </w:r>
    </w:p>
    <w:p w:rsidR="004445C5" w:rsidRPr="005F2207" w:rsidRDefault="004445C5" w:rsidP="004445C5">
      <w:pPr>
        <w:rPr>
          <w:rFonts w:cs="Arial"/>
        </w:rPr>
      </w:pPr>
    </w:p>
    <w:p w:rsidR="004445C5" w:rsidRPr="005F2207" w:rsidRDefault="004445C5" w:rsidP="004445C5">
      <w:pPr>
        <w:rPr>
          <w:rFonts w:cs="Arial"/>
          <w:b/>
          <w:u w:val="single"/>
        </w:rPr>
      </w:pPr>
      <w:r w:rsidRPr="005F2207">
        <w:rPr>
          <w:rFonts w:cs="Arial"/>
          <w:b/>
          <w:u w:val="single"/>
        </w:rPr>
        <w:t>Section 4</w:t>
      </w:r>
    </w:p>
    <w:p w:rsidR="004445C5" w:rsidRPr="005F2207" w:rsidRDefault="004445C5" w:rsidP="004445C5">
      <w:pPr>
        <w:rPr>
          <w:rFonts w:cs="Arial"/>
        </w:rPr>
      </w:pPr>
    </w:p>
    <w:p w:rsidR="004445C5" w:rsidRPr="005F2207" w:rsidRDefault="004445C5" w:rsidP="004445C5">
      <w:pPr>
        <w:autoSpaceDE w:val="0"/>
        <w:autoSpaceDN w:val="0"/>
        <w:adjustRightInd w:val="0"/>
        <w:spacing w:line="240" w:lineRule="auto"/>
        <w:rPr>
          <w:rFonts w:cs="Arial"/>
          <w:b/>
          <w:i/>
        </w:rPr>
      </w:pPr>
      <w:r w:rsidRPr="005F2207">
        <w:rPr>
          <w:rFonts w:cs="Arial"/>
          <w:b/>
          <w:i/>
        </w:rPr>
        <w:t xml:space="preserve">BEE </w:t>
      </w:r>
      <w:r>
        <w:rPr>
          <w:rFonts w:cs="Arial"/>
          <w:b/>
          <w:i/>
        </w:rPr>
        <w:t>Segment</w:t>
      </w:r>
    </w:p>
    <w:p w:rsidR="004445C5" w:rsidRPr="005F2207" w:rsidRDefault="004445C5" w:rsidP="004445C5">
      <w:pPr>
        <w:autoSpaceDE w:val="0"/>
        <w:autoSpaceDN w:val="0"/>
        <w:adjustRightInd w:val="0"/>
        <w:spacing w:line="240" w:lineRule="auto"/>
        <w:rPr>
          <w:rFonts w:cs="Arial"/>
          <w:i/>
        </w:rPr>
      </w:pPr>
    </w:p>
    <w:p w:rsidR="004445C5" w:rsidRPr="005F2207" w:rsidRDefault="004445C5" w:rsidP="004445C5">
      <w:pPr>
        <w:autoSpaceDE w:val="0"/>
        <w:autoSpaceDN w:val="0"/>
        <w:adjustRightInd w:val="0"/>
        <w:spacing w:line="240" w:lineRule="auto"/>
        <w:jc w:val="both"/>
        <w:rPr>
          <w:rFonts w:cs="Arial"/>
          <w:i/>
        </w:rPr>
      </w:pPr>
      <w:r w:rsidRPr="005F2207">
        <w:rPr>
          <w:rFonts w:cs="Arial"/>
          <w:i/>
        </w:rPr>
        <w:t xml:space="preserve">4.32 An applicant issuer seeking a listing of its BEE </w:t>
      </w:r>
      <w:r>
        <w:rPr>
          <w:rFonts w:cs="Arial"/>
          <w:i/>
        </w:rPr>
        <w:t>S</w:t>
      </w:r>
      <w:r w:rsidRPr="005F2207">
        <w:rPr>
          <w:rFonts w:cs="Arial"/>
          <w:i/>
        </w:rPr>
        <w:t xml:space="preserve">ecurities on the BEE </w:t>
      </w:r>
      <w:r>
        <w:rPr>
          <w:rFonts w:cs="Arial"/>
          <w:i/>
        </w:rPr>
        <w:t>Segment</w:t>
      </w:r>
      <w:r w:rsidRPr="005F2207">
        <w:rPr>
          <w:rFonts w:cs="Arial"/>
          <w:i/>
        </w:rPr>
        <w:t xml:space="preserve"> must satisfy the following criteria:</w:t>
      </w:r>
    </w:p>
    <w:p w:rsidR="004445C5" w:rsidRPr="005F2207" w:rsidRDefault="004445C5" w:rsidP="004445C5">
      <w:pPr>
        <w:autoSpaceDE w:val="0"/>
        <w:autoSpaceDN w:val="0"/>
        <w:adjustRightInd w:val="0"/>
        <w:spacing w:line="240" w:lineRule="auto"/>
        <w:ind w:left="567" w:firstLine="142"/>
        <w:jc w:val="both"/>
        <w:rPr>
          <w:rFonts w:cs="Arial"/>
          <w:i/>
        </w:rPr>
      </w:pPr>
    </w:p>
    <w:p w:rsidR="004445C5" w:rsidRDefault="004445C5" w:rsidP="004445C5">
      <w:pPr>
        <w:tabs>
          <w:tab w:val="left" w:pos="567"/>
        </w:tabs>
        <w:autoSpaceDE w:val="0"/>
        <w:autoSpaceDN w:val="0"/>
        <w:adjustRightInd w:val="0"/>
        <w:spacing w:line="240" w:lineRule="auto"/>
        <w:ind w:left="567" w:hanging="283"/>
        <w:jc w:val="both"/>
        <w:rPr>
          <w:rFonts w:cs="Arial"/>
          <w:i/>
        </w:rPr>
      </w:pPr>
      <w:r w:rsidRPr="005F2207">
        <w:rPr>
          <w:rFonts w:cs="Arial"/>
          <w:i/>
        </w:rPr>
        <w:t xml:space="preserve">(a) </w:t>
      </w:r>
      <w:r>
        <w:rPr>
          <w:rFonts w:cs="Arial"/>
          <w:i/>
        </w:rPr>
        <w:t>it must meet the</w:t>
      </w:r>
      <w:r w:rsidRPr="005F2207">
        <w:rPr>
          <w:rFonts w:cs="Arial"/>
          <w:i/>
        </w:rPr>
        <w:t xml:space="preserve"> basic listing criteria as set out in either section 4, 19, 20 or 21 of the Listings Requirements</w:t>
      </w:r>
      <w:r w:rsidRPr="00A35A69">
        <w:rPr>
          <w:rFonts w:cs="Arial"/>
          <w:i/>
        </w:rPr>
        <w:t xml:space="preserve"> </w:t>
      </w:r>
      <w:r w:rsidR="005730A8" w:rsidRPr="00A35A69">
        <w:rPr>
          <w:rFonts w:cs="Arial"/>
          <w:i/>
        </w:rPr>
        <w:t>respectively</w:t>
      </w:r>
      <w:r w:rsidR="005730A8" w:rsidRPr="005730A8">
        <w:rPr>
          <w:rFonts w:cs="Arial"/>
          <w:i/>
          <w:color w:val="FF0000"/>
        </w:rPr>
        <w:t xml:space="preserve"> </w:t>
      </w:r>
      <w:r>
        <w:rPr>
          <w:rFonts w:cs="Arial"/>
          <w:i/>
        </w:rPr>
        <w:t>and comply with all other relevant sections applicable to the aforementioned</w:t>
      </w:r>
      <w:r w:rsidRPr="005F2207">
        <w:rPr>
          <w:rFonts w:cs="Arial"/>
          <w:i/>
        </w:rPr>
        <w:t xml:space="preserve">; </w:t>
      </w:r>
    </w:p>
    <w:p w:rsidR="004445C5" w:rsidRPr="005F2207" w:rsidRDefault="004445C5" w:rsidP="004445C5">
      <w:pPr>
        <w:tabs>
          <w:tab w:val="left" w:pos="851"/>
        </w:tabs>
        <w:autoSpaceDE w:val="0"/>
        <w:autoSpaceDN w:val="0"/>
        <w:adjustRightInd w:val="0"/>
        <w:spacing w:line="240" w:lineRule="auto"/>
        <w:ind w:left="851" w:hanging="567"/>
        <w:rPr>
          <w:rFonts w:cs="Arial"/>
          <w:i/>
        </w:rPr>
      </w:pPr>
    </w:p>
    <w:p w:rsidR="004445C5" w:rsidRDefault="004445C5" w:rsidP="004445C5">
      <w:pPr>
        <w:tabs>
          <w:tab w:val="left" w:pos="851"/>
        </w:tabs>
        <w:autoSpaceDE w:val="0"/>
        <w:autoSpaceDN w:val="0"/>
        <w:adjustRightInd w:val="0"/>
        <w:spacing w:line="240" w:lineRule="auto"/>
        <w:ind w:left="851" w:hanging="567"/>
        <w:jc w:val="both"/>
        <w:rPr>
          <w:rFonts w:cs="Arial"/>
          <w:i/>
        </w:rPr>
      </w:pPr>
      <w:r w:rsidRPr="005F2207">
        <w:rPr>
          <w:rFonts w:cs="Arial"/>
          <w:i/>
        </w:rPr>
        <w:t xml:space="preserve">(b) trading in the BEE </w:t>
      </w:r>
      <w:r>
        <w:rPr>
          <w:rFonts w:cs="Arial"/>
          <w:i/>
        </w:rPr>
        <w:t>S</w:t>
      </w:r>
      <w:r w:rsidRPr="005F2207">
        <w:rPr>
          <w:rFonts w:cs="Arial"/>
          <w:i/>
        </w:rPr>
        <w:t xml:space="preserve">ecurities must be restricted only to BEE </w:t>
      </w:r>
      <w:r>
        <w:rPr>
          <w:rFonts w:cs="Arial"/>
          <w:i/>
        </w:rPr>
        <w:t>C</w:t>
      </w:r>
      <w:r w:rsidRPr="005F2207">
        <w:rPr>
          <w:rFonts w:cs="Arial"/>
          <w:i/>
        </w:rPr>
        <w:t xml:space="preserve">ompliant </w:t>
      </w:r>
      <w:r>
        <w:rPr>
          <w:rFonts w:cs="Arial"/>
          <w:i/>
        </w:rPr>
        <w:t>P</w:t>
      </w:r>
      <w:r w:rsidRPr="005F2207">
        <w:rPr>
          <w:rFonts w:cs="Arial"/>
          <w:i/>
        </w:rPr>
        <w:t>erson</w:t>
      </w:r>
      <w:r>
        <w:rPr>
          <w:rFonts w:cs="Arial"/>
          <w:i/>
        </w:rPr>
        <w:t xml:space="preserve">s; </w:t>
      </w:r>
    </w:p>
    <w:p w:rsidR="004445C5" w:rsidRPr="008A6456" w:rsidRDefault="004445C5" w:rsidP="004445C5">
      <w:pPr>
        <w:tabs>
          <w:tab w:val="left" w:pos="851"/>
        </w:tabs>
        <w:autoSpaceDE w:val="0"/>
        <w:autoSpaceDN w:val="0"/>
        <w:adjustRightInd w:val="0"/>
        <w:spacing w:line="240" w:lineRule="auto"/>
        <w:ind w:left="851" w:hanging="567"/>
        <w:jc w:val="both"/>
        <w:rPr>
          <w:rFonts w:cs="Arial"/>
          <w:i/>
        </w:rPr>
      </w:pPr>
    </w:p>
    <w:p w:rsidR="004445C5" w:rsidRPr="008A6456" w:rsidRDefault="004445C5" w:rsidP="004445C5">
      <w:pPr>
        <w:tabs>
          <w:tab w:val="left" w:pos="567"/>
        </w:tabs>
        <w:autoSpaceDE w:val="0"/>
        <w:autoSpaceDN w:val="0"/>
        <w:adjustRightInd w:val="0"/>
        <w:spacing w:line="240" w:lineRule="auto"/>
        <w:ind w:left="567" w:hanging="283"/>
        <w:jc w:val="both"/>
        <w:rPr>
          <w:rFonts w:cs="Arial"/>
          <w:i/>
        </w:rPr>
      </w:pPr>
      <w:r w:rsidRPr="009A6B55">
        <w:rPr>
          <w:rFonts w:cs="Arial"/>
          <w:i/>
        </w:rPr>
        <w:t xml:space="preserve">(c) it must indemnify the JSE against all and any legal costs incurred (including attorney and own client costs) to the extent that as a result of a BEE Contract not having been signed as required in terms of the JSE </w:t>
      </w:r>
      <w:r w:rsidR="006F48F3">
        <w:rPr>
          <w:rFonts w:cs="Arial"/>
          <w:i/>
        </w:rPr>
        <w:t>E</w:t>
      </w:r>
      <w:r w:rsidRPr="009A6B55">
        <w:rPr>
          <w:rFonts w:cs="Arial"/>
          <w:i/>
        </w:rPr>
        <w:t xml:space="preserve">quities </w:t>
      </w:r>
      <w:r w:rsidR="006F48F3">
        <w:rPr>
          <w:rFonts w:cs="Arial"/>
          <w:i/>
        </w:rPr>
        <w:t>R</w:t>
      </w:r>
      <w:r w:rsidRPr="009A6B55">
        <w:rPr>
          <w:rFonts w:cs="Arial"/>
          <w:i/>
        </w:rPr>
        <w:t>ules</w:t>
      </w:r>
      <w:r w:rsidR="00E44E7D">
        <w:rPr>
          <w:rFonts w:cs="Arial"/>
          <w:i/>
        </w:rPr>
        <w:t xml:space="preserve"> and </w:t>
      </w:r>
      <w:r w:rsidR="006F48F3">
        <w:rPr>
          <w:rFonts w:cs="Arial"/>
          <w:i/>
        </w:rPr>
        <w:t>D</w:t>
      </w:r>
      <w:r w:rsidR="00E44E7D">
        <w:rPr>
          <w:rFonts w:cs="Arial"/>
          <w:i/>
        </w:rPr>
        <w:t>irectives</w:t>
      </w:r>
      <w:r w:rsidRPr="009A6B55">
        <w:rPr>
          <w:rFonts w:cs="Arial"/>
          <w:i/>
        </w:rPr>
        <w:t>, the JSE takes any legal action and is not able to recover its costs from the parties to the legal action pursuant to a costs order awarded in the legal action;</w:t>
      </w:r>
    </w:p>
    <w:p w:rsidR="004445C5" w:rsidRPr="008A6456" w:rsidRDefault="004445C5" w:rsidP="004445C5">
      <w:pPr>
        <w:tabs>
          <w:tab w:val="left" w:pos="851"/>
        </w:tabs>
        <w:autoSpaceDE w:val="0"/>
        <w:autoSpaceDN w:val="0"/>
        <w:adjustRightInd w:val="0"/>
        <w:spacing w:line="240" w:lineRule="auto"/>
        <w:ind w:left="851" w:hanging="567"/>
        <w:jc w:val="both"/>
        <w:rPr>
          <w:rFonts w:cs="Arial"/>
          <w:i/>
        </w:rPr>
      </w:pPr>
    </w:p>
    <w:p w:rsidR="004445C5" w:rsidRPr="008A6456" w:rsidRDefault="004445C5" w:rsidP="004445C5">
      <w:pPr>
        <w:pStyle w:val="Clause1Head"/>
        <w:numPr>
          <w:ilvl w:val="0"/>
          <w:numId w:val="0"/>
        </w:numPr>
        <w:spacing w:line="240" w:lineRule="auto"/>
        <w:ind w:left="993" w:hanging="709"/>
        <w:rPr>
          <w:i/>
          <w:lang w:val="en-US"/>
        </w:rPr>
      </w:pPr>
      <w:r w:rsidRPr="009A6B55">
        <w:rPr>
          <w:rFonts w:cs="Arial"/>
          <w:b w:val="0"/>
          <w:i/>
        </w:rPr>
        <w:t xml:space="preserve">(d) </w:t>
      </w:r>
      <w:bookmarkStart w:id="0" w:name="_Ref264918353"/>
      <w:bookmarkStart w:id="1" w:name="_Ref261975673"/>
      <w:r w:rsidRPr="009A6B55">
        <w:rPr>
          <w:rFonts w:cs="Arial"/>
          <w:b w:val="0"/>
          <w:i/>
        </w:rPr>
        <w:t>(i)</w:t>
      </w:r>
      <w:r w:rsidRPr="009A6B55">
        <w:rPr>
          <w:rFonts w:cs="Arial"/>
          <w:b w:val="0"/>
          <w:i/>
        </w:rPr>
        <w:tab/>
        <w:t>i</w:t>
      </w:r>
      <w:r w:rsidRPr="009A6B55">
        <w:rPr>
          <w:b w:val="0"/>
          <w:i/>
          <w:lang w:val="en-US"/>
        </w:rPr>
        <w:t>f the applicant issuer elects, by reason of the breach of a particular BEE Contract to enforce the BEE Contract against the beneficial owner of BEE Securities and, if applicable, other parties to the BEE Contract by either the applicant issuer repurchasing or the applicant issuer nominating a third party to purchase, and such third party purchasing, the BEE Securities and</w:t>
      </w:r>
      <w:r w:rsidR="006F48F3">
        <w:rPr>
          <w:b w:val="0"/>
          <w:i/>
          <w:lang w:val="en-US"/>
        </w:rPr>
        <w:t>;</w:t>
      </w:r>
    </w:p>
    <w:p w:rsidR="004445C5" w:rsidRPr="008A6456" w:rsidRDefault="004445C5" w:rsidP="004445C5">
      <w:pPr>
        <w:pStyle w:val="Clause2Sub"/>
        <w:numPr>
          <w:ilvl w:val="0"/>
          <w:numId w:val="0"/>
        </w:numPr>
        <w:spacing w:line="240" w:lineRule="auto"/>
        <w:ind w:left="993" w:hanging="426"/>
        <w:rPr>
          <w:i/>
          <w:lang w:val="en-US"/>
        </w:rPr>
      </w:pPr>
      <w:r w:rsidRPr="009A6B55">
        <w:rPr>
          <w:i/>
          <w:lang w:val="en-US"/>
        </w:rPr>
        <w:t>(ii)</w:t>
      </w:r>
      <w:r w:rsidRPr="009A6B55">
        <w:rPr>
          <w:i/>
          <w:lang w:val="en-US"/>
        </w:rPr>
        <w:tab/>
        <w:t xml:space="preserve">it instructs the registered holder thereof in turn to instruct the relevant CSDP or its nominee to </w:t>
      </w:r>
      <w:r w:rsidRPr="009A6B55">
        <w:rPr>
          <w:i/>
        </w:rPr>
        <w:t xml:space="preserve">effect the necessary entries relating to such repurchase or </w:t>
      </w:r>
      <w:r w:rsidRPr="009A6B55">
        <w:rPr>
          <w:i/>
          <w:lang w:val="en-US"/>
        </w:rPr>
        <w:t>purchase,</w:t>
      </w:r>
    </w:p>
    <w:p w:rsidR="004445C5" w:rsidRPr="008A6456" w:rsidRDefault="004445C5" w:rsidP="004445C5">
      <w:pPr>
        <w:pStyle w:val="Clause2Sub"/>
        <w:numPr>
          <w:ilvl w:val="0"/>
          <w:numId w:val="0"/>
        </w:numPr>
        <w:spacing w:line="240" w:lineRule="auto"/>
        <w:ind w:left="720"/>
        <w:rPr>
          <w:i/>
          <w:lang w:val="en-US"/>
        </w:rPr>
      </w:pPr>
      <w:r w:rsidRPr="009A6B55">
        <w:rPr>
          <w:i/>
          <w:lang w:val="en-US"/>
        </w:rPr>
        <w:t>and as a consequence litigation ensues and</w:t>
      </w:r>
      <w:bookmarkEnd w:id="0"/>
      <w:r w:rsidRPr="009A6B55">
        <w:rPr>
          <w:i/>
          <w:lang w:val="en-US"/>
        </w:rPr>
        <w:t xml:space="preserve"> the registered holder and/or the CSDP or its nominee and/or any </w:t>
      </w:r>
      <w:r w:rsidR="00454D6C">
        <w:rPr>
          <w:i/>
          <w:lang w:val="en-US"/>
        </w:rPr>
        <w:t xml:space="preserve">JSE </w:t>
      </w:r>
      <w:r w:rsidRPr="009A6B55">
        <w:rPr>
          <w:i/>
          <w:lang w:val="en-US"/>
        </w:rPr>
        <w:t xml:space="preserve">member of the JSE is/are joined in such litigation, the applicant issuer indemnifies such registered holder and/or CSDP or its nominee and/or </w:t>
      </w:r>
      <w:r w:rsidR="00454D6C">
        <w:rPr>
          <w:i/>
          <w:lang w:val="en-US"/>
        </w:rPr>
        <w:t xml:space="preserve">JSE </w:t>
      </w:r>
      <w:r w:rsidRPr="009A6B55">
        <w:rPr>
          <w:i/>
          <w:lang w:val="en-US"/>
        </w:rPr>
        <w:t xml:space="preserve">member and their </w:t>
      </w:r>
      <w:r w:rsidRPr="009A6B55">
        <w:rPr>
          <w:i/>
          <w:lang w:val="en-ZA"/>
        </w:rPr>
        <w:t xml:space="preserve">directors, employees, servants, agents or contractors or other persons for whom in law </w:t>
      </w:r>
      <w:r w:rsidRPr="009A6B55">
        <w:rPr>
          <w:i/>
        </w:rPr>
        <w:t>they may be liable against all and any costs (including attorney and own client costs) which may be awarded against any of them as a consequence of the litigation</w:t>
      </w:r>
      <w:r w:rsidRPr="009A6B55">
        <w:rPr>
          <w:i/>
          <w:lang w:val="en-US"/>
        </w:rPr>
        <w:t xml:space="preserve"> provided that –</w:t>
      </w:r>
    </w:p>
    <w:p w:rsidR="004445C5" w:rsidRPr="008A6456" w:rsidRDefault="004445C5" w:rsidP="004445C5">
      <w:pPr>
        <w:pStyle w:val="Clause2Sub"/>
        <w:numPr>
          <w:ilvl w:val="0"/>
          <w:numId w:val="0"/>
        </w:numPr>
        <w:spacing w:line="240" w:lineRule="auto"/>
        <w:ind w:left="1440" w:hanging="720"/>
        <w:rPr>
          <w:i/>
        </w:rPr>
      </w:pPr>
      <w:r w:rsidRPr="009A6B55">
        <w:rPr>
          <w:i/>
          <w:lang w:val="en-US"/>
        </w:rPr>
        <w:t>(1)</w:t>
      </w:r>
      <w:r w:rsidRPr="009A6B55">
        <w:rPr>
          <w:b/>
          <w:i/>
          <w:lang w:val="en-US"/>
        </w:rPr>
        <w:tab/>
      </w:r>
      <w:bookmarkStart w:id="2" w:name="_Ref518703457"/>
      <w:r w:rsidRPr="009A6B55">
        <w:rPr>
          <w:b/>
          <w:i/>
          <w:lang w:val="en-US"/>
        </w:rPr>
        <w:t>t</w:t>
      </w:r>
      <w:r w:rsidRPr="009A6B55">
        <w:rPr>
          <w:i/>
        </w:rPr>
        <w:t>he registered holder or CSDP or its nominee or</w:t>
      </w:r>
      <w:r w:rsidR="00454D6C">
        <w:rPr>
          <w:i/>
        </w:rPr>
        <w:t xml:space="preserve"> JSE</w:t>
      </w:r>
      <w:r w:rsidRPr="009A6B55">
        <w:rPr>
          <w:i/>
        </w:rPr>
        <w:t xml:space="preserve"> member, as the case may be, shall (unless it is the applicant issuer which joined them) notify the applicant issuer in writing of such joinder within a reasonable time of becoming aware thereof, to enable the applicant issuer to take steps to act on their behalf as contemplated in paragraph (2) below</w:t>
      </w:r>
      <w:bookmarkEnd w:id="2"/>
      <w:r w:rsidRPr="009A6B55">
        <w:rPr>
          <w:i/>
        </w:rPr>
        <w:t>;</w:t>
      </w:r>
    </w:p>
    <w:bookmarkEnd w:id="1"/>
    <w:p w:rsidR="004445C5" w:rsidRPr="008A6456" w:rsidRDefault="004445C5" w:rsidP="004445C5">
      <w:pPr>
        <w:pStyle w:val="Clause1Head"/>
        <w:numPr>
          <w:ilvl w:val="0"/>
          <w:numId w:val="0"/>
        </w:numPr>
        <w:tabs>
          <w:tab w:val="num" w:pos="360"/>
        </w:tabs>
        <w:spacing w:line="240" w:lineRule="auto"/>
        <w:ind w:left="1440" w:hanging="720"/>
        <w:rPr>
          <w:b w:val="0"/>
          <w:i/>
        </w:rPr>
      </w:pPr>
      <w:r w:rsidRPr="009A6B55">
        <w:rPr>
          <w:b w:val="0"/>
          <w:i/>
        </w:rPr>
        <w:lastRenderedPageBreak/>
        <w:t>(2)</w:t>
      </w:r>
      <w:r w:rsidRPr="009A6B55">
        <w:rPr>
          <w:b w:val="0"/>
          <w:i/>
        </w:rPr>
        <w:tab/>
        <w:t xml:space="preserve">if a party to the litigation, other than the applicant issuer joined them, the applicant issuer shall be entitled to contest (which shall include an appeal to a court of law) the litigation in the name of the registered holder or CSDP or its nominee or the </w:t>
      </w:r>
      <w:r w:rsidR="00F55972">
        <w:rPr>
          <w:b w:val="0"/>
          <w:i/>
        </w:rPr>
        <w:t xml:space="preserve">JSE </w:t>
      </w:r>
      <w:r w:rsidRPr="009A6B55">
        <w:rPr>
          <w:b w:val="0"/>
          <w:i/>
        </w:rPr>
        <w:t xml:space="preserve">member, as the case may be, and shall be entitled to control the proceedings in regard thereto and the registered holder and the CSDP or its nominee or </w:t>
      </w:r>
      <w:r w:rsidR="00454D6C">
        <w:rPr>
          <w:b w:val="0"/>
          <w:i/>
        </w:rPr>
        <w:t xml:space="preserve">JSE </w:t>
      </w:r>
      <w:r w:rsidRPr="009A6B55">
        <w:rPr>
          <w:b w:val="0"/>
          <w:i/>
        </w:rPr>
        <w:t>member shall take no steps in the litigation which are not approved in writing by the applicant issuer;</w:t>
      </w:r>
    </w:p>
    <w:p w:rsidR="004445C5" w:rsidRPr="008A6456" w:rsidRDefault="004445C5" w:rsidP="004445C5">
      <w:pPr>
        <w:pStyle w:val="Clause1Head"/>
        <w:numPr>
          <w:ilvl w:val="0"/>
          <w:numId w:val="0"/>
        </w:numPr>
        <w:tabs>
          <w:tab w:val="num" w:pos="360"/>
        </w:tabs>
        <w:spacing w:line="240" w:lineRule="auto"/>
        <w:ind w:left="1440" w:hanging="720"/>
        <w:rPr>
          <w:b w:val="0"/>
          <w:i/>
          <w:lang w:val="en-US"/>
        </w:rPr>
      </w:pPr>
      <w:r w:rsidRPr="009A6B55">
        <w:rPr>
          <w:b w:val="0"/>
          <w:i/>
        </w:rPr>
        <w:t>(3)</w:t>
      </w:r>
      <w:r w:rsidRPr="009A6B55">
        <w:rPr>
          <w:b w:val="0"/>
          <w:i/>
        </w:rPr>
        <w:tab/>
        <w:t>if the applicant issuer joined them, they shall merely abide by the decision of the court.</w:t>
      </w:r>
    </w:p>
    <w:p w:rsidR="004445C5" w:rsidRPr="009A6B55" w:rsidRDefault="004445C5" w:rsidP="004445C5">
      <w:pPr>
        <w:tabs>
          <w:tab w:val="left" w:pos="567"/>
        </w:tabs>
        <w:autoSpaceDE w:val="0"/>
        <w:autoSpaceDN w:val="0"/>
        <w:adjustRightInd w:val="0"/>
        <w:spacing w:line="240" w:lineRule="auto"/>
        <w:ind w:left="567" w:hanging="283"/>
        <w:jc w:val="both"/>
        <w:rPr>
          <w:rFonts w:cs="Arial"/>
          <w:i/>
        </w:rPr>
      </w:pPr>
      <w:r w:rsidRPr="009A6B55">
        <w:rPr>
          <w:i/>
        </w:rPr>
        <w:t xml:space="preserve">(e) paragraph 4.32(d) constitutes a right for the benefit of the registered holder and the CSDP or its </w:t>
      </w:r>
      <w:r w:rsidRPr="009A6B55">
        <w:rPr>
          <w:rFonts w:cs="Arial"/>
          <w:i/>
        </w:rPr>
        <w:t>nominee</w:t>
      </w:r>
      <w:r w:rsidRPr="009A6B55">
        <w:rPr>
          <w:i/>
        </w:rPr>
        <w:t xml:space="preserve"> and the </w:t>
      </w:r>
      <w:r w:rsidR="00F55972">
        <w:rPr>
          <w:i/>
        </w:rPr>
        <w:t xml:space="preserve">JSE </w:t>
      </w:r>
      <w:r w:rsidRPr="009A6B55">
        <w:rPr>
          <w:i/>
        </w:rPr>
        <w:t xml:space="preserve">member and their </w:t>
      </w:r>
      <w:r w:rsidRPr="009A6B55">
        <w:rPr>
          <w:i/>
          <w:lang w:val="en-ZA"/>
        </w:rPr>
        <w:t xml:space="preserve">directors, employees, servants, agents or contractors or other persons for whom in law </w:t>
      </w:r>
      <w:r w:rsidRPr="009A6B55">
        <w:rPr>
          <w:i/>
        </w:rPr>
        <w:t>they may be liable (stipulatio alteri), which they will be entitled to accept at any time by notifying the applicant issuer in writing of their acceptance</w:t>
      </w:r>
      <w:r w:rsidRPr="009A6B55">
        <w:rPr>
          <w:rFonts w:cs="Arial"/>
          <w:i/>
        </w:rPr>
        <w:t>;</w:t>
      </w:r>
    </w:p>
    <w:p w:rsidR="004445C5" w:rsidRPr="009A6B55" w:rsidRDefault="004445C5" w:rsidP="004445C5">
      <w:pPr>
        <w:tabs>
          <w:tab w:val="left" w:pos="567"/>
        </w:tabs>
        <w:autoSpaceDE w:val="0"/>
        <w:autoSpaceDN w:val="0"/>
        <w:adjustRightInd w:val="0"/>
        <w:spacing w:line="240" w:lineRule="auto"/>
        <w:ind w:left="567" w:hanging="283"/>
        <w:jc w:val="both"/>
        <w:rPr>
          <w:rFonts w:cs="Arial"/>
          <w:i/>
        </w:rPr>
      </w:pPr>
    </w:p>
    <w:p w:rsidR="004445C5" w:rsidRPr="009A6B55" w:rsidRDefault="004445C5" w:rsidP="004445C5">
      <w:pPr>
        <w:tabs>
          <w:tab w:val="left" w:pos="567"/>
        </w:tabs>
        <w:autoSpaceDE w:val="0"/>
        <w:autoSpaceDN w:val="0"/>
        <w:adjustRightInd w:val="0"/>
        <w:spacing w:line="240" w:lineRule="auto"/>
        <w:ind w:left="567" w:hanging="283"/>
        <w:jc w:val="both"/>
        <w:rPr>
          <w:rFonts w:cs="Arial"/>
          <w:i/>
        </w:rPr>
      </w:pPr>
      <w:r w:rsidRPr="009A6B55">
        <w:rPr>
          <w:rFonts w:cs="Arial"/>
          <w:i/>
          <w:lang w:val="en-GB"/>
        </w:rPr>
        <w:t>(f)</w:t>
      </w:r>
      <w:r w:rsidRPr="009A6B55">
        <w:rPr>
          <w:rFonts w:cs="Arial"/>
          <w:i/>
        </w:rPr>
        <w:t xml:space="preserve"> the </w:t>
      </w:r>
      <w:r w:rsidRPr="009A6B55">
        <w:rPr>
          <w:i/>
        </w:rPr>
        <w:t>indemnities</w:t>
      </w:r>
      <w:r w:rsidRPr="009A6B55">
        <w:rPr>
          <w:rFonts w:cs="Arial"/>
          <w:i/>
        </w:rPr>
        <w:t xml:space="preserve"> contained in (c), (d) and (e) above must be contained in the application letter to the JSE and any other relevant listing documents; </w:t>
      </w:r>
    </w:p>
    <w:p w:rsidR="004445C5" w:rsidRPr="009A6B55" w:rsidRDefault="004445C5" w:rsidP="004445C5">
      <w:pPr>
        <w:tabs>
          <w:tab w:val="left" w:pos="567"/>
        </w:tabs>
        <w:autoSpaceDE w:val="0"/>
        <w:autoSpaceDN w:val="0"/>
        <w:adjustRightInd w:val="0"/>
        <w:spacing w:line="240" w:lineRule="auto"/>
        <w:ind w:left="567" w:hanging="283"/>
        <w:jc w:val="both"/>
        <w:rPr>
          <w:rFonts w:cs="Arial"/>
          <w:i/>
        </w:rPr>
      </w:pPr>
    </w:p>
    <w:p w:rsidR="004445C5" w:rsidRPr="006C71AA" w:rsidRDefault="004445C5" w:rsidP="004445C5">
      <w:pPr>
        <w:tabs>
          <w:tab w:val="left" w:pos="567"/>
        </w:tabs>
        <w:autoSpaceDE w:val="0"/>
        <w:autoSpaceDN w:val="0"/>
        <w:adjustRightInd w:val="0"/>
        <w:spacing w:line="240" w:lineRule="auto"/>
        <w:ind w:left="567" w:hanging="283"/>
        <w:jc w:val="both"/>
        <w:rPr>
          <w:rFonts w:cs="Arial"/>
          <w:i/>
          <w:iCs/>
          <w:lang w:val="en-GB"/>
        </w:rPr>
      </w:pPr>
      <w:r w:rsidRPr="006C71AA">
        <w:rPr>
          <w:rFonts w:cs="Arial"/>
          <w:i/>
        </w:rPr>
        <w:t xml:space="preserve">(g) </w:t>
      </w:r>
      <w:r w:rsidRPr="006C71AA">
        <w:rPr>
          <w:rFonts w:cs="Arial"/>
          <w:i/>
          <w:iCs/>
          <w:lang w:val="en-GB"/>
        </w:rPr>
        <w:t>it must agree to become a party to and be bound by the provisions of the Issuers-Participants Contract, a copy of which will be available on the JSE website, with effect from the date on which the applicant issuer’s BEE Securities are listed on the BEE Segment. The first issuer whose BEE Securities are listed on the BEE Segment will sign the Issuers-Participant Contract and every subsequent issuer whose BEE Securities are listed on the BEE Segment, will become a party to the Issuers-Participants Contract by signing an Issuer Deed of Adherence, the form of which is attached to the Issuers-Participants Contract. The Issuer Deed of Adherence duly signed must be included with the application letter to the JSE; and</w:t>
      </w:r>
    </w:p>
    <w:p w:rsidR="004445C5" w:rsidRPr="006C71AA" w:rsidRDefault="004445C5" w:rsidP="004445C5">
      <w:pPr>
        <w:tabs>
          <w:tab w:val="left" w:pos="567"/>
        </w:tabs>
        <w:autoSpaceDE w:val="0"/>
        <w:autoSpaceDN w:val="0"/>
        <w:adjustRightInd w:val="0"/>
        <w:spacing w:line="240" w:lineRule="auto"/>
        <w:ind w:left="567" w:hanging="283"/>
        <w:jc w:val="both"/>
        <w:rPr>
          <w:rFonts w:cs="Arial"/>
          <w:i/>
        </w:rPr>
      </w:pPr>
    </w:p>
    <w:p w:rsidR="004445C5" w:rsidRPr="006C71AA" w:rsidRDefault="004445C5" w:rsidP="004445C5">
      <w:pPr>
        <w:tabs>
          <w:tab w:val="left" w:pos="709"/>
        </w:tabs>
        <w:autoSpaceDE w:val="0"/>
        <w:autoSpaceDN w:val="0"/>
        <w:adjustRightInd w:val="0"/>
        <w:spacing w:line="240" w:lineRule="auto"/>
        <w:ind w:left="709" w:hanging="425"/>
        <w:jc w:val="both"/>
        <w:rPr>
          <w:rFonts w:cs="Arial"/>
          <w:i/>
        </w:rPr>
      </w:pPr>
    </w:p>
    <w:p w:rsidR="004445C5" w:rsidRPr="006C71AA" w:rsidRDefault="004445C5" w:rsidP="004445C5">
      <w:pPr>
        <w:tabs>
          <w:tab w:val="left" w:pos="567"/>
        </w:tabs>
        <w:autoSpaceDE w:val="0"/>
        <w:autoSpaceDN w:val="0"/>
        <w:adjustRightInd w:val="0"/>
        <w:spacing w:line="240" w:lineRule="auto"/>
        <w:ind w:left="567" w:hanging="283"/>
        <w:jc w:val="both"/>
        <w:rPr>
          <w:rFonts w:cs="Arial"/>
          <w:i/>
        </w:rPr>
      </w:pPr>
      <w:r w:rsidRPr="006C71AA">
        <w:rPr>
          <w:rFonts w:cs="Arial"/>
          <w:i/>
        </w:rPr>
        <w:t>(h) the salient terms of the BEE Securities must be contained in the articles of association under the heading “Additional Terms of the BEE Contract”.</w:t>
      </w:r>
    </w:p>
    <w:p w:rsidR="00ED3519" w:rsidRPr="00ED3519" w:rsidRDefault="00ED3519" w:rsidP="00ED3519">
      <w:pPr>
        <w:autoSpaceDE w:val="0"/>
        <w:autoSpaceDN w:val="0"/>
        <w:adjustRightInd w:val="0"/>
        <w:spacing w:line="240" w:lineRule="auto"/>
        <w:jc w:val="both"/>
        <w:rPr>
          <w:rFonts w:cs="Arial"/>
        </w:rPr>
      </w:pPr>
    </w:p>
    <w:p w:rsidR="004445C5" w:rsidRPr="008A6456" w:rsidRDefault="004445C5" w:rsidP="004445C5">
      <w:pPr>
        <w:rPr>
          <w:rFonts w:cs="Arial"/>
          <w:b/>
          <w:u w:val="single"/>
        </w:rPr>
      </w:pPr>
    </w:p>
    <w:p w:rsidR="004445C5" w:rsidRPr="008A6456" w:rsidRDefault="004445C5" w:rsidP="004445C5">
      <w:pPr>
        <w:rPr>
          <w:rFonts w:cs="Arial"/>
          <w:b/>
          <w:u w:val="single"/>
        </w:rPr>
      </w:pPr>
      <w:r w:rsidRPr="009A6B55">
        <w:rPr>
          <w:rFonts w:cs="Arial"/>
          <w:b/>
          <w:u w:val="single"/>
        </w:rPr>
        <w:t>Definition section;</w:t>
      </w:r>
    </w:p>
    <w:p w:rsidR="004445C5" w:rsidRPr="008A6456" w:rsidRDefault="004445C5" w:rsidP="004445C5">
      <w:pPr>
        <w:rPr>
          <w:rFonts w:cs="Arial"/>
          <w:b/>
          <w:u w:val="single"/>
        </w:rPr>
      </w:pPr>
    </w:p>
    <w:tbl>
      <w:tblPr>
        <w:tblW w:w="9781" w:type="dxa"/>
        <w:tblInd w:w="108" w:type="dxa"/>
        <w:tblLook w:val="01E0"/>
      </w:tblPr>
      <w:tblGrid>
        <w:gridCol w:w="1276"/>
        <w:gridCol w:w="8505"/>
      </w:tblGrid>
      <w:tr w:rsidR="004445C5" w:rsidRPr="008A6456" w:rsidTr="007F7F5F">
        <w:tc>
          <w:tcPr>
            <w:tcW w:w="1276" w:type="dxa"/>
          </w:tcPr>
          <w:p w:rsidR="004445C5" w:rsidRPr="008A6456" w:rsidRDefault="004445C5" w:rsidP="007F7F5F">
            <w:pPr>
              <w:pStyle w:val="000"/>
              <w:tabs>
                <w:tab w:val="clear" w:pos="624"/>
                <w:tab w:val="left" w:pos="2310"/>
              </w:tabs>
              <w:spacing w:before="60" w:after="60"/>
              <w:ind w:left="-888" w:right="46" w:firstLine="780"/>
              <w:rPr>
                <w:rFonts w:eastAsia="MS Mincho"/>
                <w:i/>
                <w:sz w:val="20"/>
              </w:rPr>
            </w:pPr>
            <w:r w:rsidRPr="009A6B55">
              <w:rPr>
                <w:rFonts w:eastAsia="MS Mincho"/>
                <w:i/>
                <w:sz w:val="20"/>
              </w:rPr>
              <w:t xml:space="preserve">BEE Act - </w:t>
            </w:r>
          </w:p>
        </w:tc>
        <w:tc>
          <w:tcPr>
            <w:tcW w:w="8505" w:type="dxa"/>
          </w:tcPr>
          <w:p w:rsidR="004445C5" w:rsidRPr="008A6456" w:rsidRDefault="004445C5" w:rsidP="007F7F5F">
            <w:pPr>
              <w:pStyle w:val="000"/>
              <w:tabs>
                <w:tab w:val="clear" w:pos="624"/>
                <w:tab w:val="left" w:pos="858"/>
              </w:tabs>
              <w:spacing w:before="60" w:after="60"/>
              <w:ind w:left="0" w:firstLine="0"/>
              <w:rPr>
                <w:rFonts w:eastAsia="MS Mincho"/>
                <w:i/>
                <w:sz w:val="20"/>
              </w:rPr>
            </w:pPr>
            <w:r w:rsidRPr="009A6B55">
              <w:rPr>
                <w:rFonts w:eastAsia="MS Mincho"/>
                <w:i/>
                <w:sz w:val="20"/>
              </w:rPr>
              <w:t>means the Broad-Based Black Economic Empowerment Act, 2003 (Act No. 53 of 2003);</w:t>
            </w:r>
          </w:p>
        </w:tc>
      </w:tr>
    </w:tbl>
    <w:p w:rsidR="004445C5" w:rsidRPr="008A6456" w:rsidRDefault="004445C5" w:rsidP="004445C5">
      <w:pPr>
        <w:rPr>
          <w:rFonts w:cs="Arial"/>
          <w:b/>
          <w:i/>
          <w:u w:val="single"/>
        </w:rPr>
      </w:pPr>
    </w:p>
    <w:tbl>
      <w:tblPr>
        <w:tblW w:w="10349" w:type="dxa"/>
        <w:tblInd w:w="-318" w:type="dxa"/>
        <w:tblLook w:val="01E0"/>
      </w:tblPr>
      <w:tblGrid>
        <w:gridCol w:w="426"/>
        <w:gridCol w:w="1418"/>
        <w:gridCol w:w="425"/>
        <w:gridCol w:w="7938"/>
        <w:gridCol w:w="142"/>
      </w:tblGrid>
      <w:tr w:rsidR="004445C5" w:rsidRPr="008A6456" w:rsidTr="007F7F5F">
        <w:trPr>
          <w:gridBefore w:val="1"/>
          <w:wBefore w:w="426" w:type="dxa"/>
        </w:trPr>
        <w:tc>
          <w:tcPr>
            <w:tcW w:w="1418" w:type="dxa"/>
          </w:tcPr>
          <w:p w:rsidR="004445C5" w:rsidRPr="008A6456" w:rsidRDefault="004445C5" w:rsidP="007F7F5F">
            <w:pPr>
              <w:pStyle w:val="000"/>
              <w:tabs>
                <w:tab w:val="clear" w:pos="624"/>
                <w:tab w:val="left" w:pos="2310"/>
              </w:tabs>
              <w:spacing w:before="60" w:after="60"/>
              <w:ind w:left="-888" w:right="46" w:firstLine="780"/>
              <w:rPr>
                <w:rFonts w:eastAsia="MS Mincho"/>
                <w:i/>
                <w:sz w:val="20"/>
              </w:rPr>
            </w:pPr>
            <w:r w:rsidRPr="009A6B55">
              <w:rPr>
                <w:rFonts w:eastAsia="MS Mincho"/>
                <w:i/>
                <w:sz w:val="20"/>
              </w:rPr>
              <w:t xml:space="preserve">BEE Codes - </w:t>
            </w:r>
          </w:p>
        </w:tc>
        <w:tc>
          <w:tcPr>
            <w:tcW w:w="8505" w:type="dxa"/>
            <w:gridSpan w:val="3"/>
          </w:tcPr>
          <w:p w:rsidR="00483650" w:rsidRDefault="004445C5" w:rsidP="00483650">
            <w:pPr>
              <w:rPr>
                <w:rFonts w:cs="Arial"/>
                <w:i/>
                <w:iCs/>
                <w:color w:val="808080"/>
                <w:lang w:val="en-ZA"/>
              </w:rPr>
            </w:pPr>
            <w:r w:rsidRPr="00483650">
              <w:rPr>
                <w:rFonts w:eastAsia="MS Mincho"/>
                <w:i/>
              </w:rPr>
              <w:t xml:space="preserve">means the Broad-Based Black Economic Empowerment Codes of Good Practice gazetted from time to time under </w:t>
            </w:r>
            <w:bookmarkStart w:id="3" w:name="OLE_LINK1"/>
            <w:bookmarkStart w:id="4" w:name="OLE_LINK2"/>
            <w:r w:rsidRPr="00483650">
              <w:rPr>
                <w:rFonts w:eastAsia="MS Mincho"/>
                <w:i/>
              </w:rPr>
              <w:t xml:space="preserve">the </w:t>
            </w:r>
            <w:bookmarkEnd w:id="3"/>
            <w:bookmarkEnd w:id="4"/>
            <w:r w:rsidRPr="00483650">
              <w:rPr>
                <w:rFonts w:eastAsia="MS Mincho"/>
                <w:i/>
              </w:rPr>
              <w:t>BEE Ac</w:t>
            </w:r>
            <w:r w:rsidR="00483650" w:rsidRPr="00483650">
              <w:rPr>
                <w:rFonts w:eastAsia="MS Mincho"/>
                <w:i/>
              </w:rPr>
              <w:t xml:space="preserve"> in terms of </w:t>
            </w:r>
            <w:r w:rsidR="00483650" w:rsidRPr="00483650">
              <w:rPr>
                <w:rFonts w:cs="Arial"/>
                <w:lang w:val="en-ZA"/>
              </w:rPr>
              <w:t xml:space="preserve"> </w:t>
            </w:r>
            <w:r w:rsidR="00483650" w:rsidRPr="00483650">
              <w:rPr>
                <w:rFonts w:cs="Arial"/>
                <w:i/>
                <w:iCs/>
                <w:lang w:val="en-ZA"/>
              </w:rPr>
              <w:t>Code 100</w:t>
            </w:r>
            <w:r w:rsidR="00483650">
              <w:rPr>
                <w:rFonts w:cs="Arial"/>
                <w:i/>
                <w:iCs/>
                <w:lang w:val="en-ZA"/>
              </w:rPr>
              <w:t>.</w:t>
            </w:r>
            <w:r w:rsidR="00483650" w:rsidRPr="00483650">
              <w:rPr>
                <w:rFonts w:cs="Arial"/>
                <w:i/>
                <w:iCs/>
                <w:lang w:val="en-ZA"/>
              </w:rPr>
              <w:t xml:space="preserve"> The Measurement of the Ownership Element of Broad-Based Black Economic Empowerment</w:t>
            </w:r>
            <w:r w:rsidR="00483650">
              <w:rPr>
                <w:rFonts w:cs="Arial"/>
                <w:i/>
                <w:iCs/>
                <w:color w:val="808080"/>
                <w:lang w:val="en-ZA"/>
              </w:rPr>
              <w:t>.</w:t>
            </w:r>
          </w:p>
          <w:p w:rsidR="004445C5" w:rsidRPr="008A6456" w:rsidRDefault="004445C5" w:rsidP="007F7F5F">
            <w:pPr>
              <w:pStyle w:val="000"/>
              <w:tabs>
                <w:tab w:val="clear" w:pos="624"/>
                <w:tab w:val="left" w:pos="858"/>
              </w:tabs>
              <w:spacing w:before="60" w:after="60"/>
              <w:ind w:left="0" w:firstLine="0"/>
              <w:rPr>
                <w:rFonts w:eastAsia="MS Mincho"/>
                <w:i/>
                <w:sz w:val="20"/>
              </w:rPr>
            </w:pPr>
          </w:p>
        </w:tc>
      </w:tr>
      <w:tr w:rsidR="004445C5" w:rsidRPr="008A6456" w:rsidTr="007F7F5F">
        <w:trPr>
          <w:gridAfter w:val="1"/>
          <w:wAfter w:w="142" w:type="dxa"/>
        </w:trPr>
        <w:tc>
          <w:tcPr>
            <w:tcW w:w="2269" w:type="dxa"/>
            <w:gridSpan w:val="3"/>
          </w:tcPr>
          <w:p w:rsidR="004445C5" w:rsidRPr="008A6456" w:rsidRDefault="004445C5" w:rsidP="007F7F5F">
            <w:pPr>
              <w:pStyle w:val="000"/>
              <w:tabs>
                <w:tab w:val="clear" w:pos="624"/>
                <w:tab w:val="left" w:pos="568"/>
                <w:tab w:val="left" w:pos="2310"/>
              </w:tabs>
              <w:spacing w:before="60" w:after="60"/>
              <w:ind w:left="318" w:right="46" w:firstLine="0"/>
              <w:rPr>
                <w:rFonts w:eastAsia="MS Mincho"/>
                <w:i/>
                <w:sz w:val="20"/>
              </w:rPr>
            </w:pPr>
            <w:r w:rsidRPr="009A6B55">
              <w:rPr>
                <w:rFonts w:eastAsia="MS Mincho"/>
                <w:i/>
                <w:sz w:val="20"/>
              </w:rPr>
              <w:t>BEE Compliant Persons -</w:t>
            </w:r>
          </w:p>
        </w:tc>
        <w:tc>
          <w:tcPr>
            <w:tcW w:w="7938" w:type="dxa"/>
          </w:tcPr>
          <w:p w:rsidR="004445C5" w:rsidRPr="008A6456" w:rsidRDefault="004445C5" w:rsidP="007F7F5F">
            <w:pPr>
              <w:pStyle w:val="000"/>
              <w:tabs>
                <w:tab w:val="clear" w:pos="624"/>
                <w:tab w:val="left" w:pos="429"/>
                <w:tab w:val="left" w:pos="568"/>
              </w:tabs>
              <w:spacing w:before="60" w:after="60"/>
              <w:rPr>
                <w:rFonts w:eastAsia="MS Mincho"/>
                <w:i/>
                <w:sz w:val="20"/>
              </w:rPr>
            </w:pPr>
            <w:r w:rsidRPr="009A6B55">
              <w:rPr>
                <w:rFonts w:eastAsia="MS Mincho"/>
                <w:i/>
                <w:sz w:val="20"/>
              </w:rPr>
              <w:t xml:space="preserve">     </w:t>
            </w:r>
          </w:p>
          <w:p w:rsidR="004445C5" w:rsidRPr="008A6456" w:rsidRDefault="004445C5" w:rsidP="007F7F5F">
            <w:pPr>
              <w:pStyle w:val="000"/>
              <w:tabs>
                <w:tab w:val="clear" w:pos="624"/>
                <w:tab w:val="left" w:pos="568"/>
                <w:tab w:val="left" w:pos="858"/>
              </w:tabs>
              <w:spacing w:before="60" w:after="60"/>
              <w:ind w:left="0" w:firstLine="0"/>
              <w:rPr>
                <w:rFonts w:eastAsia="MS Mincho"/>
                <w:i/>
                <w:sz w:val="20"/>
              </w:rPr>
            </w:pPr>
            <w:r w:rsidRPr="009A6B55">
              <w:rPr>
                <w:rFonts w:eastAsia="MS Mincho"/>
                <w:i/>
                <w:sz w:val="20"/>
              </w:rPr>
              <w:t>means as interpreted by the courts, from time to time –</w:t>
            </w:r>
          </w:p>
          <w:p w:rsidR="004445C5" w:rsidRPr="008A6456" w:rsidRDefault="004445C5" w:rsidP="004445C5">
            <w:pPr>
              <w:pStyle w:val="000"/>
              <w:numPr>
                <w:ilvl w:val="0"/>
                <w:numId w:val="3"/>
              </w:numPr>
              <w:tabs>
                <w:tab w:val="clear" w:pos="624"/>
                <w:tab w:val="left" w:pos="34"/>
                <w:tab w:val="left" w:pos="568"/>
              </w:tabs>
              <w:spacing w:before="60" w:after="60"/>
              <w:ind w:left="601" w:hanging="567"/>
              <w:rPr>
                <w:rFonts w:eastAsia="MS Mincho"/>
                <w:i/>
                <w:sz w:val="20"/>
              </w:rPr>
            </w:pPr>
            <w:r w:rsidRPr="009A6B55">
              <w:rPr>
                <w:rFonts w:eastAsia="MS Mincho"/>
                <w:i/>
                <w:sz w:val="20"/>
              </w:rPr>
              <w:t>as regards a natural person, one who falls within the ambit of the definition of “black people” in the BEE Codes;</w:t>
            </w:r>
          </w:p>
          <w:p w:rsidR="004445C5" w:rsidRPr="006C71AA" w:rsidRDefault="004445C5" w:rsidP="004445C5">
            <w:pPr>
              <w:pStyle w:val="000"/>
              <w:numPr>
                <w:ilvl w:val="0"/>
                <w:numId w:val="5"/>
              </w:numPr>
              <w:tabs>
                <w:tab w:val="clear" w:pos="624"/>
                <w:tab w:val="left" w:pos="601"/>
              </w:tabs>
              <w:spacing w:before="0" w:after="60"/>
              <w:ind w:left="601" w:hanging="601"/>
              <w:rPr>
                <w:rFonts w:eastAsia="MS Mincho"/>
                <w:i/>
                <w:sz w:val="20"/>
              </w:rPr>
            </w:pPr>
            <w:r w:rsidRPr="009A6B55">
              <w:rPr>
                <w:rFonts w:eastAsia="MS Mincho"/>
                <w:i/>
                <w:sz w:val="20"/>
              </w:rPr>
              <w:t xml:space="preserve">as </w:t>
            </w:r>
            <w:r w:rsidRPr="006C71AA">
              <w:rPr>
                <w:rFonts w:eastAsia="MS Mincho"/>
                <w:i/>
                <w:sz w:val="20"/>
              </w:rPr>
              <w:t xml:space="preserve">regards a juristic person having a shareholding or similar </w:t>
            </w:r>
            <w:r w:rsidR="00454D6C" w:rsidRPr="006C71AA">
              <w:rPr>
                <w:rFonts w:eastAsia="MS Mincho"/>
                <w:i/>
                <w:sz w:val="20"/>
              </w:rPr>
              <w:t xml:space="preserve">JSE </w:t>
            </w:r>
            <w:r w:rsidRPr="006C71AA">
              <w:rPr>
                <w:rFonts w:eastAsia="MS Mincho"/>
                <w:i/>
                <w:sz w:val="20"/>
              </w:rPr>
              <w:t>member’s interests, one who falls within the ambit of the definitions of BEE controlled company or BEE owned company, using the flow-through principle contemplated in the BEE Codes;</w:t>
            </w:r>
          </w:p>
          <w:p w:rsidR="004445C5" w:rsidRPr="008A6456" w:rsidRDefault="004445C5" w:rsidP="004445C5">
            <w:pPr>
              <w:pStyle w:val="000"/>
              <w:numPr>
                <w:ilvl w:val="0"/>
                <w:numId w:val="3"/>
              </w:numPr>
              <w:tabs>
                <w:tab w:val="clear" w:pos="624"/>
                <w:tab w:val="left" w:pos="34"/>
                <w:tab w:val="left" w:pos="601"/>
              </w:tabs>
              <w:spacing w:before="60" w:after="60"/>
              <w:ind w:left="601" w:hanging="567"/>
              <w:rPr>
                <w:rFonts w:eastAsia="MS Mincho"/>
                <w:i/>
                <w:sz w:val="20"/>
              </w:rPr>
            </w:pPr>
            <w:r w:rsidRPr="006C71AA">
              <w:rPr>
                <w:rFonts w:eastAsia="MS Mincho"/>
                <w:i/>
                <w:sz w:val="20"/>
              </w:rPr>
              <w:t xml:space="preserve"> </w:t>
            </w:r>
            <w:r w:rsidRPr="006C71AA">
              <w:rPr>
                <w:rFonts w:eastAsia="MS Mincho"/>
                <w:i/>
                <w:sz w:val="20"/>
                <w:lang w:val="en-US"/>
              </w:rPr>
              <w:t>as regards any other entity, any entity similar to a BEE controlled company or BEE owned company using the flow-through principle contemplated in the BEE Codes which would enable the issuer of securities owned or controlled by such entity to claim points attributable to the entity’s ownership of the securities pursuant to the BEE Codes</w:t>
            </w:r>
            <w:r w:rsidRPr="006C71AA">
              <w:rPr>
                <w:rFonts w:eastAsia="MS Mincho"/>
                <w:i/>
                <w:sz w:val="20"/>
                <w:u w:val="single"/>
                <w:lang w:val="en-US"/>
              </w:rPr>
              <w:t>;</w:t>
            </w:r>
          </w:p>
        </w:tc>
      </w:tr>
      <w:tr w:rsidR="004445C5" w:rsidRPr="008A6456" w:rsidTr="007F7F5F">
        <w:trPr>
          <w:gridAfter w:val="1"/>
          <w:wAfter w:w="142" w:type="dxa"/>
        </w:trPr>
        <w:tc>
          <w:tcPr>
            <w:tcW w:w="2269" w:type="dxa"/>
            <w:gridSpan w:val="3"/>
          </w:tcPr>
          <w:p w:rsidR="004445C5" w:rsidRPr="008A6456" w:rsidRDefault="004445C5" w:rsidP="007F7F5F">
            <w:pPr>
              <w:pStyle w:val="000"/>
              <w:tabs>
                <w:tab w:val="clear" w:pos="624"/>
                <w:tab w:val="left" w:pos="2310"/>
              </w:tabs>
              <w:spacing w:before="60" w:after="60"/>
              <w:ind w:left="318" w:right="46" w:firstLine="0"/>
              <w:rPr>
                <w:rFonts w:eastAsia="MS Mincho"/>
                <w:i/>
                <w:sz w:val="20"/>
              </w:rPr>
            </w:pPr>
          </w:p>
          <w:p w:rsidR="004445C5" w:rsidRPr="008A6456" w:rsidRDefault="004445C5" w:rsidP="007F7F5F">
            <w:pPr>
              <w:pStyle w:val="000"/>
              <w:tabs>
                <w:tab w:val="clear" w:pos="624"/>
                <w:tab w:val="left" w:pos="2310"/>
              </w:tabs>
              <w:spacing w:before="60" w:after="60"/>
              <w:ind w:left="318" w:right="46" w:firstLine="0"/>
              <w:rPr>
                <w:rFonts w:eastAsia="MS Mincho"/>
                <w:i/>
                <w:sz w:val="20"/>
              </w:rPr>
            </w:pPr>
            <w:r w:rsidRPr="009A6B55">
              <w:rPr>
                <w:rFonts w:eastAsia="MS Mincho"/>
                <w:i/>
                <w:sz w:val="20"/>
              </w:rPr>
              <w:t>BEE Contract -</w:t>
            </w:r>
          </w:p>
        </w:tc>
        <w:tc>
          <w:tcPr>
            <w:tcW w:w="7938" w:type="dxa"/>
          </w:tcPr>
          <w:p w:rsidR="004445C5" w:rsidRPr="008A6456" w:rsidRDefault="004445C5" w:rsidP="007F7F5F">
            <w:pPr>
              <w:pStyle w:val="000"/>
              <w:tabs>
                <w:tab w:val="clear" w:pos="624"/>
                <w:tab w:val="left" w:pos="858"/>
              </w:tabs>
              <w:spacing w:before="60" w:after="60"/>
              <w:ind w:left="0" w:firstLine="0"/>
              <w:rPr>
                <w:rFonts w:eastAsia="MS Mincho"/>
                <w:i/>
                <w:sz w:val="20"/>
              </w:rPr>
            </w:pPr>
          </w:p>
          <w:p w:rsidR="004445C5" w:rsidRPr="008A6456" w:rsidRDefault="004445C5" w:rsidP="007F7F5F">
            <w:pPr>
              <w:pStyle w:val="000"/>
              <w:tabs>
                <w:tab w:val="clear" w:pos="624"/>
                <w:tab w:val="left" w:pos="858"/>
              </w:tabs>
              <w:spacing w:before="60" w:after="60"/>
              <w:ind w:left="0" w:firstLine="0"/>
              <w:rPr>
                <w:rFonts w:eastAsia="MS Mincho"/>
                <w:i/>
                <w:sz w:val="20"/>
              </w:rPr>
            </w:pPr>
            <w:r w:rsidRPr="009A6B55">
              <w:rPr>
                <w:rFonts w:eastAsia="MS Mincho"/>
                <w:i/>
                <w:sz w:val="20"/>
              </w:rPr>
              <w:t xml:space="preserve">means the prescribed contract which the proposed beneficial owner of BEE Securities and, if the beneficial owner is not to be the registered owner, the proposed registered </w:t>
            </w:r>
            <w:r w:rsidRPr="009A6B55">
              <w:rPr>
                <w:rFonts w:eastAsia="MS Mincho"/>
                <w:i/>
                <w:sz w:val="20"/>
              </w:rPr>
              <w:lastRenderedPageBreak/>
              <w:t>owner of BEE Securities must conclude, in terms of which, inter alia –</w:t>
            </w:r>
          </w:p>
          <w:p w:rsidR="004445C5" w:rsidRPr="008A6456" w:rsidRDefault="004445C5" w:rsidP="004445C5">
            <w:pPr>
              <w:pStyle w:val="000"/>
              <w:numPr>
                <w:ilvl w:val="0"/>
                <w:numId w:val="1"/>
              </w:numPr>
              <w:tabs>
                <w:tab w:val="clear" w:pos="624"/>
                <w:tab w:val="left" w:pos="429"/>
              </w:tabs>
              <w:spacing w:before="60" w:after="60"/>
              <w:ind w:left="429" w:hanging="429"/>
              <w:rPr>
                <w:rFonts w:eastAsia="MS Mincho"/>
                <w:i/>
                <w:sz w:val="20"/>
              </w:rPr>
            </w:pPr>
            <w:r w:rsidRPr="009A6B55">
              <w:rPr>
                <w:rFonts w:eastAsia="MS Mincho"/>
                <w:i/>
                <w:sz w:val="20"/>
              </w:rPr>
              <w:t>the beneficial owner warrants that he is a BEE Compliant Person;</w:t>
            </w:r>
          </w:p>
          <w:p w:rsidR="004445C5" w:rsidRPr="008A6456" w:rsidRDefault="004445C5" w:rsidP="004445C5">
            <w:pPr>
              <w:pStyle w:val="000"/>
              <w:numPr>
                <w:ilvl w:val="0"/>
                <w:numId w:val="1"/>
              </w:numPr>
              <w:tabs>
                <w:tab w:val="clear" w:pos="624"/>
                <w:tab w:val="left" w:pos="429"/>
              </w:tabs>
              <w:spacing w:before="60" w:after="60"/>
              <w:ind w:left="429" w:hanging="429"/>
              <w:rPr>
                <w:rFonts w:eastAsia="MS Mincho"/>
                <w:i/>
                <w:sz w:val="20"/>
              </w:rPr>
            </w:pPr>
            <w:r w:rsidRPr="009A6B55">
              <w:rPr>
                <w:rFonts w:eastAsia="MS Mincho"/>
                <w:i/>
                <w:sz w:val="20"/>
              </w:rPr>
              <w:t>the necessary restrictions, limitations and requirements are imposed by the applicant issuer on the proposed beneficial owner in order to achieve the continued ownership of BEE Securities by BEE Compliant Persons;</w:t>
            </w:r>
          </w:p>
          <w:p w:rsidR="004445C5" w:rsidRPr="008A6456" w:rsidRDefault="004445C5" w:rsidP="004445C5">
            <w:pPr>
              <w:pStyle w:val="000"/>
              <w:numPr>
                <w:ilvl w:val="0"/>
                <w:numId w:val="1"/>
              </w:numPr>
              <w:tabs>
                <w:tab w:val="clear" w:pos="624"/>
                <w:tab w:val="left" w:pos="429"/>
              </w:tabs>
              <w:spacing w:before="60" w:after="60"/>
              <w:ind w:left="429" w:hanging="429"/>
              <w:rPr>
                <w:rFonts w:eastAsia="MS Mincho"/>
                <w:i/>
                <w:sz w:val="20"/>
              </w:rPr>
            </w:pPr>
            <w:r w:rsidRPr="009A6B55">
              <w:rPr>
                <w:rFonts w:eastAsia="MS Mincho"/>
                <w:i/>
                <w:sz w:val="20"/>
              </w:rPr>
              <w:t>the BEE contract is made up of generic terms applicable to all applicant issuers and by incorporation additional specific terms relevant to a particular applicant issuer’s BEE Securities which are contained in the applicant issuer’s constitution; and</w:t>
            </w:r>
          </w:p>
          <w:p w:rsidR="004445C5" w:rsidRPr="008A6456" w:rsidRDefault="004445C5" w:rsidP="004445C5">
            <w:pPr>
              <w:pStyle w:val="000"/>
              <w:numPr>
                <w:ilvl w:val="0"/>
                <w:numId w:val="1"/>
              </w:numPr>
              <w:tabs>
                <w:tab w:val="clear" w:pos="624"/>
                <w:tab w:val="left" w:pos="429"/>
              </w:tabs>
              <w:spacing w:before="60" w:after="60"/>
              <w:ind w:left="429" w:hanging="429"/>
              <w:rPr>
                <w:rFonts w:eastAsia="MS Mincho"/>
                <w:i/>
                <w:sz w:val="20"/>
              </w:rPr>
            </w:pPr>
            <w:r w:rsidRPr="009A6B55">
              <w:rPr>
                <w:rFonts w:eastAsia="MS Mincho"/>
                <w:i/>
                <w:sz w:val="20"/>
              </w:rPr>
              <w:t>the beneficial owner indemnifies the registered owner against any claim made against the registered owner in the event that, in terms of the BEE contract, –</w:t>
            </w:r>
          </w:p>
          <w:p w:rsidR="004445C5" w:rsidRPr="008A6456" w:rsidRDefault="004445C5" w:rsidP="004445C5">
            <w:pPr>
              <w:pStyle w:val="parai-aa-00"/>
              <w:numPr>
                <w:ilvl w:val="0"/>
                <w:numId w:val="2"/>
              </w:numPr>
              <w:tabs>
                <w:tab w:val="clear" w:pos="1588"/>
                <w:tab w:val="clear" w:pos="1701"/>
                <w:tab w:val="left" w:pos="516"/>
                <w:tab w:val="right" w:pos="1138"/>
                <w:tab w:val="left" w:pos="1950"/>
              </w:tabs>
              <w:spacing w:before="60" w:after="60"/>
              <w:ind w:left="1138" w:hanging="709"/>
              <w:rPr>
                <w:rFonts w:ascii="Arial" w:eastAsia="MS Mincho" w:hAnsi="Arial" w:cs="Arial"/>
                <w:i/>
                <w:sz w:val="20"/>
              </w:rPr>
            </w:pPr>
            <w:r w:rsidRPr="009A6B55">
              <w:rPr>
                <w:rFonts w:ascii="Arial" w:eastAsia="MS Mincho" w:hAnsi="Arial" w:cs="Arial"/>
                <w:i/>
                <w:sz w:val="20"/>
              </w:rPr>
              <w:t>the registered owner is obliged to dispose of the BEE Securities; or</w:t>
            </w:r>
          </w:p>
          <w:p w:rsidR="004445C5" w:rsidRPr="008A6456" w:rsidRDefault="004445C5" w:rsidP="004445C5">
            <w:pPr>
              <w:pStyle w:val="parai-aa-00"/>
              <w:numPr>
                <w:ilvl w:val="0"/>
                <w:numId w:val="2"/>
              </w:numPr>
              <w:tabs>
                <w:tab w:val="clear" w:pos="1588"/>
                <w:tab w:val="clear" w:pos="1701"/>
                <w:tab w:val="left" w:pos="516"/>
                <w:tab w:val="right" w:pos="1138"/>
                <w:tab w:val="left" w:pos="1950"/>
              </w:tabs>
              <w:spacing w:before="60" w:after="60"/>
              <w:ind w:left="1138" w:hanging="709"/>
              <w:rPr>
                <w:rFonts w:eastAsia="MS Mincho"/>
                <w:i/>
                <w:sz w:val="20"/>
              </w:rPr>
            </w:pPr>
            <w:r w:rsidRPr="009A6B55">
              <w:rPr>
                <w:rFonts w:ascii="Arial" w:eastAsia="MS Mincho" w:hAnsi="Arial" w:cs="Arial"/>
                <w:i/>
                <w:sz w:val="20"/>
              </w:rPr>
              <w:t>the issuer of the BEE Securities exercises its right to repurchase or its right to nominate its nominee to purchase the BEE Securities from the registered owner thereof;</w:t>
            </w:r>
          </w:p>
        </w:tc>
      </w:tr>
    </w:tbl>
    <w:p w:rsidR="004445C5" w:rsidRPr="008A6456" w:rsidRDefault="004445C5" w:rsidP="004445C5">
      <w:pPr>
        <w:rPr>
          <w:rFonts w:eastAsia="MS Mincho" w:cs="Arial"/>
          <w:i/>
        </w:rPr>
      </w:pPr>
      <w:r w:rsidRPr="009A6B55">
        <w:rPr>
          <w:rFonts w:cs="Arial"/>
          <w:i/>
        </w:rPr>
        <w:lastRenderedPageBreak/>
        <w:t xml:space="preserve">BEE Controlled Company - </w:t>
      </w:r>
      <w:r w:rsidRPr="009A6B55">
        <w:rPr>
          <w:rFonts w:eastAsia="MS Mincho" w:cs="Arial"/>
          <w:i/>
        </w:rPr>
        <w:t>has the same meaning as defined in the BEE Codes;</w:t>
      </w:r>
    </w:p>
    <w:p w:rsidR="004445C5" w:rsidRPr="008A6456" w:rsidRDefault="004445C5" w:rsidP="004445C5">
      <w:pPr>
        <w:rPr>
          <w:rFonts w:eastAsia="MS Mincho" w:cs="Arial"/>
          <w:i/>
        </w:rPr>
      </w:pPr>
    </w:p>
    <w:p w:rsidR="004445C5" w:rsidRPr="008A6456" w:rsidRDefault="004445C5" w:rsidP="004445C5">
      <w:pPr>
        <w:rPr>
          <w:rFonts w:eastAsia="MS Mincho" w:cs="Arial"/>
          <w:i/>
        </w:rPr>
      </w:pPr>
      <w:r w:rsidRPr="009A6B55">
        <w:rPr>
          <w:rFonts w:eastAsia="MS Mincho" w:cs="Arial"/>
          <w:i/>
        </w:rPr>
        <w:t>BEE Owned Company - has the same meaning as defined in the BEE Codes;</w:t>
      </w:r>
    </w:p>
    <w:p w:rsidR="004445C5" w:rsidRPr="008A6456" w:rsidRDefault="004445C5" w:rsidP="004445C5">
      <w:pPr>
        <w:rPr>
          <w:rFonts w:cs="Arial"/>
          <w:b/>
          <w:i/>
          <w:u w:val="single"/>
        </w:rPr>
      </w:pPr>
    </w:p>
    <w:tbl>
      <w:tblPr>
        <w:tblW w:w="10207" w:type="dxa"/>
        <w:tblInd w:w="-318" w:type="dxa"/>
        <w:tblLook w:val="01E0"/>
      </w:tblPr>
      <w:tblGrid>
        <w:gridCol w:w="2269"/>
        <w:gridCol w:w="7938"/>
      </w:tblGrid>
      <w:tr w:rsidR="004445C5" w:rsidRPr="008A6456" w:rsidTr="007F7F5F">
        <w:tc>
          <w:tcPr>
            <w:tcW w:w="2269" w:type="dxa"/>
          </w:tcPr>
          <w:p w:rsidR="004445C5" w:rsidRDefault="004445C5" w:rsidP="007F7F5F">
            <w:pPr>
              <w:pStyle w:val="000"/>
              <w:tabs>
                <w:tab w:val="left" w:pos="2310"/>
              </w:tabs>
              <w:spacing w:before="60" w:after="60"/>
              <w:ind w:right="-108"/>
              <w:jc w:val="center"/>
              <w:rPr>
                <w:rFonts w:eastAsia="MS Mincho"/>
                <w:i/>
                <w:sz w:val="20"/>
              </w:rPr>
            </w:pPr>
            <w:r w:rsidRPr="009274CC">
              <w:rPr>
                <w:rFonts w:eastAsia="MS Mincho"/>
                <w:i/>
                <w:sz w:val="20"/>
              </w:rPr>
              <w:t>BEE Securities -</w:t>
            </w:r>
          </w:p>
        </w:tc>
        <w:tc>
          <w:tcPr>
            <w:tcW w:w="7938" w:type="dxa"/>
          </w:tcPr>
          <w:p w:rsidR="004445C5" w:rsidRPr="008A6456" w:rsidRDefault="004445C5" w:rsidP="007F7F5F">
            <w:pPr>
              <w:pStyle w:val="000"/>
              <w:tabs>
                <w:tab w:val="clear" w:pos="624"/>
                <w:tab w:val="left" w:pos="858"/>
              </w:tabs>
              <w:spacing w:before="60" w:after="60"/>
              <w:ind w:left="0" w:firstLine="0"/>
              <w:rPr>
                <w:rFonts w:eastAsia="MS Mincho"/>
                <w:i/>
                <w:sz w:val="20"/>
                <w:szCs w:val="20"/>
              </w:rPr>
            </w:pPr>
            <w:r>
              <w:rPr>
                <w:rFonts w:eastAsia="MS Mincho"/>
                <w:i/>
                <w:sz w:val="20"/>
                <w:szCs w:val="20"/>
              </w:rPr>
              <w:t>means the securities in respect of which the applicant issuer requires that the beneficial owners are BEE Compliant Persons</w:t>
            </w:r>
            <w:r w:rsidR="00042076">
              <w:rPr>
                <w:rFonts w:eastAsia="MS Mincho"/>
                <w:i/>
                <w:sz w:val="20"/>
                <w:szCs w:val="20"/>
              </w:rPr>
              <w:t>;</w:t>
            </w:r>
          </w:p>
          <w:p w:rsidR="004445C5" w:rsidRPr="008A6456" w:rsidRDefault="004445C5" w:rsidP="007F7F5F">
            <w:pPr>
              <w:pStyle w:val="000"/>
              <w:tabs>
                <w:tab w:val="clear" w:pos="624"/>
                <w:tab w:val="left" w:pos="858"/>
              </w:tabs>
              <w:spacing w:before="60" w:after="60"/>
              <w:ind w:left="0" w:firstLine="0"/>
              <w:rPr>
                <w:rFonts w:eastAsia="MS Mincho"/>
                <w:i/>
                <w:sz w:val="20"/>
              </w:rPr>
            </w:pPr>
          </w:p>
        </w:tc>
      </w:tr>
      <w:tr w:rsidR="004445C5" w:rsidRPr="008A6456" w:rsidTr="007F7F5F">
        <w:tc>
          <w:tcPr>
            <w:tcW w:w="2269" w:type="dxa"/>
          </w:tcPr>
          <w:p w:rsidR="004445C5" w:rsidRDefault="004445C5" w:rsidP="007F7F5F">
            <w:pPr>
              <w:pStyle w:val="000"/>
              <w:tabs>
                <w:tab w:val="left" w:pos="363"/>
                <w:tab w:val="center" w:pos="707"/>
              </w:tabs>
              <w:spacing w:before="60" w:after="60"/>
              <w:ind w:left="-746" w:right="-108"/>
              <w:jc w:val="center"/>
              <w:rPr>
                <w:rFonts w:eastAsia="MS Mincho"/>
                <w:i/>
                <w:sz w:val="20"/>
              </w:rPr>
            </w:pPr>
            <w:r>
              <w:rPr>
                <w:rFonts w:eastAsia="MS Mincho"/>
                <w:i/>
                <w:sz w:val="20"/>
              </w:rPr>
              <w:t xml:space="preserve">          </w:t>
            </w:r>
            <w:r w:rsidR="0007273C">
              <w:rPr>
                <w:rFonts w:eastAsia="MS Mincho"/>
                <w:i/>
                <w:sz w:val="20"/>
              </w:rPr>
              <w:t xml:space="preserve">        </w:t>
            </w:r>
            <w:r w:rsidRPr="009274CC">
              <w:rPr>
                <w:rFonts w:eastAsia="MS Mincho"/>
                <w:i/>
                <w:sz w:val="20"/>
              </w:rPr>
              <w:t>BEE Segment</w:t>
            </w:r>
            <w:r>
              <w:rPr>
                <w:rFonts w:eastAsia="MS Mincho"/>
                <w:i/>
                <w:sz w:val="20"/>
              </w:rPr>
              <w:t xml:space="preserve"> - </w:t>
            </w:r>
          </w:p>
        </w:tc>
        <w:tc>
          <w:tcPr>
            <w:tcW w:w="7938" w:type="dxa"/>
          </w:tcPr>
          <w:p w:rsidR="004445C5" w:rsidRPr="008A6456" w:rsidRDefault="004445C5" w:rsidP="007F7F5F">
            <w:pPr>
              <w:pStyle w:val="000"/>
              <w:tabs>
                <w:tab w:val="clear" w:pos="624"/>
                <w:tab w:val="left" w:pos="858"/>
              </w:tabs>
              <w:spacing w:before="60" w:after="60"/>
              <w:ind w:left="0" w:firstLine="0"/>
              <w:rPr>
                <w:rFonts w:eastAsia="MS Mincho"/>
                <w:i/>
                <w:sz w:val="20"/>
                <w:szCs w:val="20"/>
              </w:rPr>
            </w:pPr>
            <w:r w:rsidRPr="009A6B55">
              <w:rPr>
                <w:rFonts w:eastAsia="MS Mincho"/>
                <w:i/>
                <w:sz w:val="20"/>
                <w:szCs w:val="20"/>
              </w:rPr>
              <w:t>means a segment of the JSE’s main board where an issuer may list its BEE Securities and where trading in the securities is restricted to BEE Compliant Persons</w:t>
            </w:r>
            <w:r>
              <w:rPr>
                <w:rFonts w:eastAsia="MS Mincho"/>
                <w:i/>
                <w:sz w:val="20"/>
                <w:szCs w:val="20"/>
              </w:rPr>
              <w:t>.</w:t>
            </w:r>
          </w:p>
        </w:tc>
      </w:tr>
    </w:tbl>
    <w:p w:rsidR="004445C5" w:rsidRDefault="004445C5" w:rsidP="004445C5">
      <w:pPr>
        <w:jc w:val="both"/>
        <w:rPr>
          <w:rFonts w:cs="Arial"/>
        </w:rPr>
      </w:pPr>
    </w:p>
    <w:p w:rsidR="0007273C" w:rsidRDefault="0007273C" w:rsidP="004445C5">
      <w:pPr>
        <w:jc w:val="both"/>
        <w:rPr>
          <w:rFonts w:cs="Arial"/>
        </w:rPr>
      </w:pPr>
    </w:p>
    <w:p w:rsidR="00DC278D" w:rsidRDefault="00DC278D" w:rsidP="004445C5">
      <w:pPr>
        <w:jc w:val="both"/>
        <w:rPr>
          <w:rFonts w:cs="Arial"/>
        </w:rPr>
      </w:pPr>
    </w:p>
    <w:p w:rsidR="00DC278D" w:rsidRDefault="00DC278D" w:rsidP="004445C5">
      <w:pPr>
        <w:jc w:val="both"/>
        <w:rPr>
          <w:rFonts w:cs="Arial"/>
        </w:rPr>
      </w:pPr>
    </w:p>
    <w:p w:rsidR="004445C5" w:rsidRDefault="004445C5" w:rsidP="004445C5">
      <w:pPr>
        <w:ind w:left="142"/>
        <w:jc w:val="both"/>
        <w:rPr>
          <w:rFonts w:cs="Arial"/>
        </w:rPr>
      </w:pPr>
    </w:p>
    <w:p w:rsidR="00201551" w:rsidRDefault="000B5655"/>
    <w:sectPr w:rsidR="00201551" w:rsidSect="007A20A2">
      <w:headerReference w:type="even" r:id="rId8"/>
      <w:headerReference w:type="default" r:id="rId9"/>
      <w:footerReference w:type="default" r:id="rId10"/>
      <w:headerReference w:type="first" r:id="rId11"/>
      <w:footerReference w:type="first" r:id="rId12"/>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55" w:rsidRDefault="000B5655" w:rsidP="007E1F44">
      <w:pPr>
        <w:spacing w:line="240" w:lineRule="auto"/>
      </w:pPr>
      <w:r>
        <w:separator/>
      </w:r>
    </w:p>
  </w:endnote>
  <w:endnote w:type="continuationSeparator" w:id="0">
    <w:p w:rsidR="000B5655" w:rsidRDefault="000B5655" w:rsidP="007E1F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0" w:rsidRDefault="000B5655" w:rsidP="00C94EA6">
    <w:pPr>
      <w:pStyle w:val="Footer"/>
      <w:jc w:val="right"/>
      <w:rPr>
        <w:rFonts w:eastAsia="Times New Roman"/>
        <w:b/>
        <w:color w:val="808080"/>
        <w:sz w:val="14"/>
      </w:rPr>
    </w:pPr>
  </w:p>
  <w:p w:rsidR="006E3DC0" w:rsidRDefault="0099040C" w:rsidP="00C94EA6">
    <w:pPr>
      <w:pStyle w:val="Footer"/>
      <w:jc w:val="right"/>
      <w:rPr>
        <w:rFonts w:eastAsia="Times New Roman"/>
        <w:b/>
        <w:color w:val="808080"/>
        <w:sz w:val="14"/>
      </w:rPr>
    </w:pPr>
    <w:r w:rsidRPr="00C94EA6">
      <w:rPr>
        <w:rFonts w:eastAsia="Times New Roman"/>
        <w:b/>
        <w:color w:val="808080"/>
        <w:sz w:val="14"/>
      </w:rPr>
      <w:t xml:space="preserve">Page </w:t>
    </w:r>
    <w:r w:rsidR="001C6463" w:rsidRPr="00C94EA6">
      <w:rPr>
        <w:rFonts w:eastAsia="Times New Roman"/>
        <w:b/>
        <w:color w:val="808080"/>
        <w:sz w:val="14"/>
      </w:rPr>
      <w:fldChar w:fldCharType="begin"/>
    </w:r>
    <w:r w:rsidRPr="00C94EA6">
      <w:rPr>
        <w:rFonts w:eastAsia="Times New Roman"/>
        <w:b/>
        <w:color w:val="808080"/>
        <w:sz w:val="14"/>
      </w:rPr>
      <w:instrText xml:space="preserve"> PAGE </w:instrText>
    </w:r>
    <w:r w:rsidR="001C6463" w:rsidRPr="00C94EA6">
      <w:rPr>
        <w:rFonts w:eastAsia="Times New Roman"/>
        <w:b/>
        <w:color w:val="808080"/>
        <w:sz w:val="14"/>
      </w:rPr>
      <w:fldChar w:fldCharType="separate"/>
    </w:r>
    <w:r w:rsidR="00513F11">
      <w:rPr>
        <w:rFonts w:eastAsia="Times New Roman"/>
        <w:b/>
        <w:noProof/>
        <w:color w:val="808080"/>
        <w:sz w:val="14"/>
      </w:rPr>
      <w:t>2</w:t>
    </w:r>
    <w:r w:rsidR="001C6463" w:rsidRPr="00C94EA6">
      <w:rPr>
        <w:rFonts w:eastAsia="Times New Roman"/>
        <w:b/>
        <w:color w:val="808080"/>
        <w:sz w:val="14"/>
      </w:rPr>
      <w:fldChar w:fldCharType="end"/>
    </w:r>
    <w:r w:rsidRPr="00C94EA6">
      <w:rPr>
        <w:rFonts w:eastAsia="Times New Roman"/>
        <w:b/>
        <w:color w:val="808080"/>
        <w:sz w:val="14"/>
      </w:rPr>
      <w:t xml:space="preserve"> of </w:t>
    </w:r>
    <w:r w:rsidR="001C6463"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1C6463" w:rsidRPr="00C94EA6">
      <w:rPr>
        <w:rFonts w:eastAsia="Times New Roman"/>
        <w:b/>
        <w:color w:val="808080"/>
        <w:sz w:val="14"/>
      </w:rPr>
      <w:fldChar w:fldCharType="separate"/>
    </w:r>
    <w:r w:rsidR="00513F11">
      <w:rPr>
        <w:rFonts w:eastAsia="Times New Roman"/>
        <w:b/>
        <w:noProof/>
        <w:color w:val="808080"/>
        <w:sz w:val="14"/>
      </w:rPr>
      <w:t>3</w:t>
    </w:r>
    <w:r w:rsidR="001C6463" w:rsidRPr="00C94EA6">
      <w:rPr>
        <w:rFonts w:eastAsia="Times New Roman"/>
        <w:b/>
        <w:color w:val="808080"/>
        <w:sz w:val="14"/>
      </w:rPr>
      <w:fldChar w:fldCharType="end"/>
    </w:r>
  </w:p>
  <w:p w:rsidR="006E3DC0" w:rsidRDefault="000B5655" w:rsidP="00C94EA6">
    <w:pPr>
      <w:pStyle w:val="Footer"/>
      <w:jc w:val="right"/>
      <w:rPr>
        <w:rFonts w:eastAsia="Times New Roman"/>
        <w:b/>
        <w:color w:val="808080"/>
        <w:sz w:val="14"/>
      </w:rPr>
    </w:pPr>
  </w:p>
  <w:p w:rsidR="006E3DC0" w:rsidRPr="00C94EA6" w:rsidRDefault="000B5655" w:rsidP="00C94EA6">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0" w:rsidRPr="000575E4" w:rsidRDefault="000B5655">
    <w:pPr>
      <w:rPr>
        <w:rFonts w:cs="Arial"/>
      </w:rPr>
    </w:pPr>
    <w:bookmarkStart w:id="9" w:name="LHS_JSE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335"/>
      <w:gridCol w:w="3953"/>
      <w:gridCol w:w="390"/>
      <w:gridCol w:w="4074"/>
    </w:tblGrid>
    <w:tr w:rsidR="006E3DC0" w:rsidRPr="000575E4">
      <w:tc>
        <w:tcPr>
          <w:tcW w:w="1335" w:type="dxa"/>
        </w:tcPr>
        <w:p w:rsidR="006E3DC0" w:rsidRPr="000575E4" w:rsidRDefault="0099040C">
          <w:pPr>
            <w:rPr>
              <w:rFonts w:cs="Arial"/>
            </w:rPr>
          </w:pPr>
          <w:r>
            <w:rPr>
              <w:rFonts w:cs="Arial"/>
              <w:noProof/>
            </w:rPr>
            <w:drawing>
              <wp:inline distT="0" distB="0" distL="0" distR="0">
                <wp:extent cx="419100" cy="352425"/>
                <wp:effectExtent l="0" t="0" r="0" b="0"/>
                <wp:docPr id="27" name="Picture 27"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a"/>
                        <pic:cNvPicPr>
                          <a:picLocks noChangeAspect="1" noChangeArrowheads="1"/>
                        </pic:cNvPicPr>
                      </pic:nvPicPr>
                      <pic:blipFill>
                        <a:blip r:embed="rId1"/>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c>
        <w:tcPr>
          <w:tcW w:w="3953" w:type="dxa"/>
        </w:tcPr>
        <w:p w:rsidR="006E3DC0" w:rsidRPr="00E23073" w:rsidRDefault="0099040C">
          <w:pPr>
            <w:spacing w:line="220" w:lineRule="exact"/>
            <w:jc w:val="both"/>
            <w:rPr>
              <w:rFonts w:eastAsia="Batang" w:cs="Arial"/>
              <w:b/>
              <w:color w:val="808080"/>
              <w:sz w:val="14"/>
              <w:szCs w:val="14"/>
            </w:rPr>
          </w:pPr>
          <w:r w:rsidRPr="00E23073">
            <w:rPr>
              <w:rFonts w:eastAsia="Batang" w:cs="Arial"/>
              <w:b/>
              <w:color w:val="808080"/>
              <w:sz w:val="14"/>
              <w:szCs w:val="14"/>
            </w:rPr>
            <w:t>JSE Limited Registration Number: 2005/022939/06</w:t>
          </w:r>
        </w:p>
        <w:p w:rsidR="006E3DC0" w:rsidRPr="00E23073" w:rsidRDefault="0099040C">
          <w:pPr>
            <w:spacing w:line="220" w:lineRule="exact"/>
            <w:jc w:val="both"/>
            <w:rPr>
              <w:rFonts w:eastAsia="Batang" w:cs="Arial"/>
              <w:color w:val="808080"/>
              <w:sz w:val="14"/>
              <w:szCs w:val="14"/>
            </w:rPr>
          </w:pPr>
          <w:r w:rsidRPr="00E23073">
            <w:rPr>
              <w:rFonts w:eastAsia="Batang" w:cs="Arial"/>
              <w:color w:val="808080"/>
              <w:sz w:val="14"/>
              <w:szCs w:val="14"/>
            </w:rPr>
            <w:t>One Exchange Square, Gwen Lane, Sandown, South Africa. Private Bag X991174, Sandton, 2146, South Africa. Telephone: +27 11 520 7000, Facsimile: +27 11 520 8584, www.jse.co.za</w:t>
          </w:r>
        </w:p>
        <w:p w:rsidR="006E3DC0" w:rsidRPr="00E23073" w:rsidRDefault="000B5655">
          <w:pPr>
            <w:spacing w:line="220" w:lineRule="exact"/>
            <w:jc w:val="both"/>
            <w:rPr>
              <w:rFonts w:eastAsia="Batang" w:cs="Arial"/>
              <w:color w:val="808080"/>
              <w:sz w:val="14"/>
              <w:szCs w:val="14"/>
            </w:rPr>
          </w:pPr>
        </w:p>
        <w:p w:rsidR="006E3DC0" w:rsidRDefault="000B5655">
          <w:pPr>
            <w:spacing w:line="220" w:lineRule="exact"/>
            <w:jc w:val="both"/>
            <w:rPr>
              <w:rFonts w:eastAsia="Batang" w:cs="Arial"/>
              <w:color w:val="808080"/>
              <w:sz w:val="14"/>
              <w:szCs w:val="14"/>
            </w:rPr>
          </w:pPr>
        </w:p>
        <w:p w:rsidR="006E3DC0" w:rsidRPr="00E23073" w:rsidRDefault="000B5655">
          <w:pPr>
            <w:spacing w:line="220" w:lineRule="exact"/>
            <w:jc w:val="both"/>
            <w:rPr>
              <w:rFonts w:eastAsia="Batang" w:cs="Arial"/>
              <w:color w:val="808080"/>
              <w:sz w:val="14"/>
              <w:szCs w:val="14"/>
            </w:rPr>
          </w:pPr>
        </w:p>
        <w:p w:rsidR="006E3DC0" w:rsidRPr="009C1B03" w:rsidRDefault="0099040C">
          <w:pPr>
            <w:spacing w:line="220" w:lineRule="exact"/>
            <w:jc w:val="both"/>
            <w:rPr>
              <w:rFonts w:eastAsia="Batang" w:cs="Arial"/>
              <w:b/>
              <w:color w:val="808080"/>
              <w:sz w:val="14"/>
              <w:szCs w:val="14"/>
            </w:rPr>
          </w:pPr>
          <w:r w:rsidRPr="00E23073">
            <w:rPr>
              <w:rFonts w:eastAsia="Batang" w:cs="Arial"/>
              <w:b/>
              <w:color w:val="808080"/>
              <w:sz w:val="14"/>
              <w:szCs w:val="14"/>
            </w:rPr>
            <w:t>Member of the World Federation of Exchanges</w:t>
          </w:r>
        </w:p>
      </w:tc>
      <w:tc>
        <w:tcPr>
          <w:tcW w:w="390" w:type="dxa"/>
        </w:tcPr>
        <w:p w:rsidR="006E3DC0" w:rsidRPr="00E23073" w:rsidRDefault="000B5655">
          <w:pPr>
            <w:spacing w:line="220" w:lineRule="exact"/>
            <w:jc w:val="both"/>
            <w:rPr>
              <w:rFonts w:cs="Arial"/>
              <w:color w:val="808080"/>
              <w:sz w:val="14"/>
              <w:szCs w:val="14"/>
            </w:rPr>
          </w:pPr>
        </w:p>
      </w:tc>
      <w:tc>
        <w:tcPr>
          <w:tcW w:w="4074" w:type="dxa"/>
        </w:tcPr>
        <w:p w:rsidR="006E3DC0" w:rsidRPr="009C1B03" w:rsidRDefault="0099040C">
          <w:pPr>
            <w:spacing w:line="220" w:lineRule="exact"/>
            <w:jc w:val="both"/>
            <w:rPr>
              <w:rFonts w:cs="Arial"/>
              <w:color w:val="808080"/>
              <w:sz w:val="14"/>
              <w:szCs w:val="14"/>
            </w:rPr>
          </w:pPr>
          <w:r w:rsidRPr="00E23073">
            <w:rPr>
              <w:rFonts w:cs="Arial"/>
              <w:b/>
              <w:color w:val="808080"/>
              <w:sz w:val="14"/>
              <w:szCs w:val="14"/>
            </w:rPr>
            <w:t>Executive Directors:</w:t>
          </w:r>
          <w:r w:rsidRPr="00E23073">
            <w:rPr>
              <w:rFonts w:cs="Arial"/>
              <w:color w:val="808080"/>
              <w:sz w:val="14"/>
              <w:szCs w:val="14"/>
            </w:rPr>
            <w:t xml:space="preserve"> RM Loubser (CEO), NF Newton-King, F Evans</w:t>
          </w:r>
          <w:r w:rsidRPr="00E23073">
            <w:rPr>
              <w:color w:val="808080"/>
            </w:rPr>
            <w:t xml:space="preserve"> </w:t>
          </w:r>
          <w:r w:rsidRPr="00E23073">
            <w:rPr>
              <w:rFonts w:cs="Arial"/>
              <w:color w:val="808080"/>
              <w:sz w:val="14"/>
              <w:szCs w:val="14"/>
            </w:rPr>
            <w:t xml:space="preserve">(CFO), JH Burke, LV Parsons </w:t>
          </w:r>
          <w:r w:rsidRPr="00E23073">
            <w:rPr>
              <w:rFonts w:cs="Arial"/>
              <w:b/>
              <w:color w:val="808080"/>
              <w:sz w:val="14"/>
              <w:szCs w:val="14"/>
            </w:rPr>
            <w:t>Non-Executive Directors:</w:t>
          </w:r>
          <w:r w:rsidRPr="00E23073">
            <w:rPr>
              <w:rFonts w:cs="Arial"/>
              <w:color w:val="808080"/>
              <w:sz w:val="14"/>
              <w:szCs w:val="14"/>
            </w:rPr>
            <w:t xml:space="preserve"> HJ Borkum (Chairman), AD Botha, ZL Combi</w:t>
          </w:r>
          <w:r w:rsidRPr="00E23073">
            <w:rPr>
              <w:rFonts w:cs="Arial"/>
              <w:color w:val="808080"/>
              <w:sz w:val="14"/>
              <w:szCs w:val="14"/>
              <w:lang w:val="en-ZA"/>
            </w:rPr>
            <w:t>,</w:t>
          </w:r>
          <w:r w:rsidRPr="00E23073">
            <w:rPr>
              <w:rFonts w:cs="Arial"/>
              <w:color w:val="808080"/>
              <w:sz w:val="14"/>
              <w:szCs w:val="14"/>
            </w:rPr>
            <w:t xml:space="preserve"> MR Johnston, DM Lawrence, W Luhabe, A Mazwai,</w:t>
          </w:r>
          <w:r>
            <w:rPr>
              <w:rFonts w:cs="Arial"/>
              <w:color w:val="808080"/>
              <w:sz w:val="14"/>
              <w:szCs w:val="14"/>
            </w:rPr>
            <w:t xml:space="preserve"> </w:t>
          </w:r>
          <w:r w:rsidRPr="00E23073">
            <w:rPr>
              <w:rFonts w:cs="Arial"/>
              <w:color w:val="808080"/>
              <w:sz w:val="14"/>
              <w:szCs w:val="14"/>
            </w:rPr>
            <w:t>NS Nematswerani,</w:t>
          </w:r>
          <w:r>
            <w:rPr>
              <w:rFonts w:cs="Arial"/>
              <w:color w:val="808080"/>
              <w:sz w:val="14"/>
              <w:szCs w:val="14"/>
            </w:rPr>
            <w:t xml:space="preserve"> </w:t>
          </w:r>
          <w:r w:rsidRPr="009C1B03">
            <w:rPr>
              <w:rFonts w:cs="Arial"/>
              <w:color w:val="808080"/>
              <w:sz w:val="14"/>
              <w:szCs w:val="14"/>
            </w:rPr>
            <w:t>N Nyembezi-Heita,</w:t>
          </w:r>
          <w:r w:rsidRPr="00E23073">
            <w:rPr>
              <w:rFonts w:cs="Arial"/>
              <w:color w:val="808080"/>
              <w:sz w:val="14"/>
              <w:szCs w:val="14"/>
            </w:rPr>
            <w:t xml:space="preserve"> N Payne, G Serobe  </w:t>
          </w:r>
          <w:r w:rsidRPr="009C1B03">
            <w:rPr>
              <w:rFonts w:cs="Arial"/>
              <w:b/>
              <w:color w:val="808080"/>
              <w:sz w:val="14"/>
              <w:szCs w:val="14"/>
            </w:rPr>
            <w:t>Alternate Director:</w:t>
          </w:r>
          <w:r w:rsidRPr="009C1B03">
            <w:rPr>
              <w:rFonts w:cs="Arial"/>
              <w:color w:val="808080"/>
              <w:sz w:val="14"/>
              <w:szCs w:val="14"/>
            </w:rPr>
            <w:t xml:space="preserve"> J Berman</w:t>
          </w:r>
        </w:p>
        <w:p w:rsidR="006E3DC0" w:rsidRPr="00E23073" w:rsidRDefault="000B5655">
          <w:pPr>
            <w:spacing w:line="220" w:lineRule="exact"/>
            <w:jc w:val="both"/>
            <w:rPr>
              <w:rFonts w:cs="Arial"/>
              <w:color w:val="808080"/>
              <w:sz w:val="14"/>
              <w:szCs w:val="14"/>
            </w:rPr>
          </w:pPr>
        </w:p>
        <w:p w:rsidR="006E3DC0" w:rsidRPr="00E23073" w:rsidRDefault="0099040C">
          <w:pPr>
            <w:spacing w:line="220" w:lineRule="exact"/>
            <w:jc w:val="both"/>
            <w:rPr>
              <w:rFonts w:cs="Arial"/>
              <w:color w:val="808080"/>
              <w:sz w:val="14"/>
              <w:szCs w:val="14"/>
            </w:rPr>
          </w:pPr>
          <w:r w:rsidRPr="00E23073">
            <w:rPr>
              <w:rFonts w:cs="Arial"/>
              <w:b/>
              <w:color w:val="808080"/>
              <w:sz w:val="14"/>
              <w:szCs w:val="14"/>
            </w:rPr>
            <w:t>Company Secretary:</w:t>
          </w:r>
          <w:r w:rsidRPr="00E23073">
            <w:rPr>
              <w:rFonts w:cs="Arial"/>
              <w:color w:val="808080"/>
              <w:sz w:val="14"/>
              <w:szCs w:val="14"/>
            </w:rPr>
            <w:t xml:space="preserve"> GC Clarke</w:t>
          </w:r>
          <w:bookmarkEnd w:id="9"/>
        </w:p>
      </w:tc>
    </w:tr>
  </w:tbl>
  <w:p w:rsidR="006E3DC0" w:rsidRDefault="000B56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55" w:rsidRDefault="000B5655" w:rsidP="007E1F44">
      <w:pPr>
        <w:spacing w:line="240" w:lineRule="auto"/>
      </w:pPr>
      <w:r>
        <w:separator/>
      </w:r>
    </w:p>
  </w:footnote>
  <w:footnote w:type="continuationSeparator" w:id="0">
    <w:p w:rsidR="000B5655" w:rsidRDefault="000B5655" w:rsidP="007E1F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0" w:rsidRDefault="001C6463">
    <w:pPr>
      <w:framePr w:wrap="around" w:vAnchor="text" w:hAnchor="margin" w:xAlign="right" w:y="1"/>
    </w:pPr>
    <w:r>
      <w:fldChar w:fldCharType="begin"/>
    </w:r>
    <w:r w:rsidR="0099040C">
      <w:instrText xml:space="preserve">PAGE  </w:instrText>
    </w:r>
    <w:r>
      <w:fldChar w:fldCharType="end"/>
    </w:r>
  </w:p>
  <w:p w:rsidR="006E3DC0" w:rsidRDefault="000B5655">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0" w:rsidRDefault="001C6463"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442.35pt;margin-top:.2pt;width:26.45pt;height:225.6pt;z-index:251661312;mso-position-vertical-relative:page" stroked="f">
          <v:textbox style="mso-next-textbox:#_x0000_s1026" inset="0,0,0,0">
            <w:txbxContent>
              <w:p w:rsidR="006E3DC0" w:rsidRDefault="000B5655" w:rsidP="00EF6146">
                <w:pPr>
                  <w:jc w:val="right"/>
                </w:pPr>
              </w:p>
              <w:p w:rsidR="006E3DC0" w:rsidRDefault="000B5655" w:rsidP="00EF6146">
                <w:pPr>
                  <w:jc w:val="right"/>
                </w:pPr>
              </w:p>
              <w:p w:rsidR="006E3DC0" w:rsidRDefault="000B5655" w:rsidP="00EF6146">
                <w:pPr>
                  <w:jc w:val="right"/>
                </w:pPr>
              </w:p>
              <w:p w:rsidR="006E3DC0" w:rsidRDefault="000B5655" w:rsidP="00EF6146">
                <w:pPr>
                  <w:jc w:val="right"/>
                </w:pPr>
              </w:p>
              <w:p w:rsidR="006E3DC0" w:rsidRDefault="000B5655" w:rsidP="00EF6146">
                <w:pPr>
                  <w:jc w:val="right"/>
                </w:pPr>
              </w:p>
              <w:p w:rsidR="006E3DC0" w:rsidRDefault="000B5655" w:rsidP="00EF6146">
                <w:pPr>
                  <w:jc w:val="right"/>
                </w:pPr>
              </w:p>
              <w:p w:rsidR="006E3DC0" w:rsidRPr="000575E4" w:rsidRDefault="000B5655">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E3DC0" w:rsidRPr="000575E4">
                  <w:trPr>
                    <w:trHeight w:hRule="exact" w:val="2342"/>
                    <w:jc w:val="right"/>
                  </w:trPr>
                  <w:tc>
                    <w:tcPr>
                      <w:tcW w:w="9752" w:type="dxa"/>
                    </w:tcPr>
                    <w:p w:rsidR="006E3DC0" w:rsidRPr="000575E4" w:rsidRDefault="0099040C">
                      <w:pPr>
                        <w:rPr>
                          <w:rFonts w:cs="Arial"/>
                          <w:color w:val="939598"/>
                          <w:szCs w:val="14"/>
                        </w:rPr>
                      </w:pPr>
                      <w:r>
                        <w:rPr>
                          <w:rFonts w:cs="Arial"/>
                          <w:noProof/>
                        </w:rPr>
                        <w:drawing>
                          <wp:inline distT="0" distB="0" distL="0" distR="0">
                            <wp:extent cx="152400" cy="14954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6E3DC0" w:rsidRPr="00866D23" w:rsidRDefault="000B5655" w:rsidP="00EF6146">
                <w:pPr>
                  <w:jc w:val="right"/>
                </w:pPr>
              </w:p>
            </w:txbxContent>
          </v:textbox>
          <w10:wrap anchory="page"/>
        </v:shape>
      </w:pict>
    </w: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Pr="000575E4" w:rsidRDefault="000B5655" w:rsidP="00377180">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E3DC0" w:rsidRPr="000575E4">
      <w:trPr>
        <w:trHeight w:hRule="exact" w:val="2342"/>
        <w:jc w:val="right"/>
      </w:trPr>
      <w:tc>
        <w:tcPr>
          <w:tcW w:w="9752" w:type="dxa"/>
        </w:tcPr>
        <w:p w:rsidR="006E3DC0" w:rsidRPr="000575E4" w:rsidRDefault="0099040C" w:rsidP="00377180">
          <w:pPr>
            <w:framePr w:w="527" w:h="4683" w:hRule="exact" w:hSpace="181" w:wrap="around" w:vAnchor="text" w:hAnchor="page" w:x="11415" w:y="-719"/>
            <w:rPr>
              <w:rFonts w:cs="Arial"/>
              <w:color w:val="939598"/>
              <w:szCs w:val="14"/>
            </w:rPr>
          </w:pPr>
          <w:r>
            <w:rPr>
              <w:rFonts w:cs="Arial"/>
              <w:noProof/>
            </w:rPr>
            <w:drawing>
              <wp:inline distT="0" distB="0" distL="0" distR="0">
                <wp:extent cx="152400" cy="14954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6E3DC0" w:rsidRPr="00866D23" w:rsidRDefault="000B5655" w:rsidP="00EF6146">
    <w:pPr>
      <w:framePr w:w="527" w:h="4683" w:hRule="exact" w:hSpace="181" w:wrap="around" w:vAnchor="text" w:hAnchor="page" w:x="11415" w:y="-719"/>
      <w:shd w:val="solid" w:color="FFFFFF" w:fill="FFFFFF"/>
      <w:jc w:val="right"/>
    </w:pPr>
  </w:p>
  <w:p w:rsidR="006E3DC0" w:rsidRPr="00EF6146" w:rsidRDefault="000B5655"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0" w:rsidRDefault="001C6463"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1025" type="#_x0000_t202" style="position:absolute;left:0;text-align:left;margin-left:442.35pt;margin-top:.2pt;width:26.45pt;height:225.6pt;z-index:251660288;mso-position-vertical-relative:page" stroked="f">
          <v:textbox style="mso-next-textbox:#_x0000_s1025" inset="0,0,0,0">
            <w:txbxContent>
              <w:p w:rsidR="006E3DC0" w:rsidRDefault="000B5655" w:rsidP="00BD2E91">
                <w:pPr>
                  <w:jc w:val="right"/>
                </w:pPr>
              </w:p>
              <w:p w:rsidR="006E3DC0" w:rsidRDefault="000B5655" w:rsidP="00BD2E91">
                <w:pPr>
                  <w:jc w:val="right"/>
                </w:pPr>
              </w:p>
              <w:p w:rsidR="006E3DC0" w:rsidRDefault="000B5655" w:rsidP="00BD2E91">
                <w:pPr>
                  <w:jc w:val="right"/>
                </w:pPr>
              </w:p>
              <w:p w:rsidR="006E3DC0" w:rsidRDefault="000B5655" w:rsidP="00BD2E91">
                <w:pPr>
                  <w:jc w:val="right"/>
                </w:pPr>
              </w:p>
              <w:p w:rsidR="006E3DC0" w:rsidRDefault="000B5655" w:rsidP="00BD2E91">
                <w:pPr>
                  <w:jc w:val="right"/>
                </w:pPr>
              </w:p>
              <w:p w:rsidR="006E3DC0" w:rsidRDefault="000B5655" w:rsidP="00BD2E91">
                <w:pPr>
                  <w:jc w:val="right"/>
                </w:pPr>
              </w:p>
              <w:p w:rsidR="006E3DC0" w:rsidRPr="000575E4" w:rsidRDefault="000B5655">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E3DC0" w:rsidRPr="000575E4">
                  <w:trPr>
                    <w:trHeight w:hRule="exact" w:val="2342"/>
                    <w:jc w:val="right"/>
                  </w:trPr>
                  <w:tc>
                    <w:tcPr>
                      <w:tcW w:w="9752" w:type="dxa"/>
                    </w:tcPr>
                    <w:p w:rsidR="006E3DC0" w:rsidRPr="000575E4" w:rsidRDefault="0099040C">
                      <w:pPr>
                        <w:rPr>
                          <w:rFonts w:cs="Arial"/>
                          <w:color w:val="939598"/>
                          <w:szCs w:val="14"/>
                        </w:rPr>
                      </w:pPr>
                      <w:r>
                        <w:rPr>
                          <w:rFonts w:cs="Arial"/>
                          <w:noProof/>
                        </w:rPr>
                        <w:drawing>
                          <wp:inline distT="0" distB="0" distL="0" distR="0">
                            <wp:extent cx="152400" cy="14954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6E3DC0" w:rsidRPr="00866D23" w:rsidRDefault="000B5655" w:rsidP="00BD2E91">
                <w:pPr>
                  <w:jc w:val="right"/>
                </w:pPr>
              </w:p>
            </w:txbxContent>
          </v:textbox>
          <w10:wrap anchory="page"/>
        </v:shape>
      </w:pict>
    </w: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Default="000B5655" w:rsidP="00EF6146">
    <w:pPr>
      <w:framePr w:w="527" w:h="4683" w:hRule="exact" w:hSpace="181" w:wrap="around" w:vAnchor="text" w:hAnchor="page" w:x="11415" w:y="-719"/>
      <w:shd w:val="solid" w:color="FFFFFF" w:fill="FFFFFF"/>
      <w:jc w:val="right"/>
    </w:pPr>
  </w:p>
  <w:p w:rsidR="006E3DC0" w:rsidRPr="000575E4" w:rsidRDefault="000B5655" w:rsidP="00377180">
    <w:pPr>
      <w:framePr w:w="527" w:h="4683" w:hRule="exact" w:hSpace="181" w:wrap="around" w:vAnchor="text" w:hAnchor="page" w:x="11415" w:y="-719"/>
      <w:rPr>
        <w:rFonts w:cs="Arial"/>
      </w:rPr>
    </w:pPr>
    <w:bookmarkStart w:id="5" w:name="LHS_YieldX_Chevron"/>
    <w:bookmarkStart w:id="6"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E3DC0" w:rsidRPr="000575E4">
      <w:trPr>
        <w:trHeight w:hRule="exact" w:val="2342"/>
        <w:jc w:val="right"/>
      </w:trPr>
      <w:tc>
        <w:tcPr>
          <w:tcW w:w="9752" w:type="dxa"/>
        </w:tcPr>
        <w:p w:rsidR="006E3DC0" w:rsidRPr="000575E4" w:rsidRDefault="0099040C" w:rsidP="00377180">
          <w:pPr>
            <w:framePr w:w="527" w:h="4683" w:hRule="exact" w:hSpace="181" w:wrap="around" w:vAnchor="text" w:hAnchor="page" w:x="11415" w:y="-719"/>
            <w:rPr>
              <w:rFonts w:cs="Arial"/>
              <w:color w:val="939598"/>
              <w:szCs w:val="14"/>
            </w:rPr>
          </w:pPr>
          <w:r>
            <w:rPr>
              <w:rFonts w:cs="Arial"/>
              <w:noProof/>
            </w:rPr>
            <w:drawing>
              <wp:inline distT="0" distB="0" distL="0" distR="0">
                <wp:extent cx="152400" cy="14954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bookmarkEnd w:id="5"/>
          <w:bookmarkEnd w:id="6"/>
        </w:p>
      </w:tc>
    </w:tr>
  </w:tbl>
  <w:p w:rsidR="006E3DC0" w:rsidRPr="00866D23" w:rsidRDefault="000B5655" w:rsidP="00EF6146">
    <w:pPr>
      <w:framePr w:w="527" w:h="4683" w:hRule="exact" w:hSpace="181" w:wrap="around" w:vAnchor="text" w:hAnchor="page" w:x="11415" w:y="-719"/>
      <w:shd w:val="solid" w:color="FFFFFF" w:fill="FFFFFF"/>
      <w:jc w:val="right"/>
    </w:pPr>
  </w:p>
  <w:p w:rsidR="006E3DC0" w:rsidRPr="000575E4" w:rsidRDefault="000B5655">
    <w:pPr>
      <w:rPr>
        <w:rFonts w:cs="Arial"/>
      </w:rPr>
    </w:pPr>
    <w:bookmarkStart w:id="7" w:name="LHS_YieldX_Header"/>
    <w:bookmarkStart w:id="8" w:name="LHS_JSE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9752"/>
    </w:tblGrid>
    <w:tr w:rsidR="006E3DC0" w:rsidRPr="000575E4">
      <w:tc>
        <w:tcPr>
          <w:tcW w:w="9752" w:type="dxa"/>
        </w:tcPr>
        <w:p w:rsidR="006E3DC0" w:rsidRPr="000575E4" w:rsidRDefault="0099040C">
          <w:pPr>
            <w:rPr>
              <w:rFonts w:cs="Arial"/>
              <w:color w:val="C71C22"/>
            </w:rPr>
          </w:pPr>
          <w:r>
            <w:rPr>
              <w:rFonts w:cs="Arial"/>
              <w:noProof/>
            </w:rPr>
            <w:drawing>
              <wp:inline distT="0" distB="0" distL="0" distR="0">
                <wp:extent cx="3552825" cy="657225"/>
                <wp:effectExtent l="19050" t="0" r="9525" b="0"/>
                <wp:docPr id="21" name="Picture 21" descr="JS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SE HORIZONTAL"/>
                        <pic:cNvPicPr>
                          <a:picLocks noChangeAspect="1" noChangeArrowheads="1"/>
                        </pic:cNvPicPr>
                      </pic:nvPicPr>
                      <pic:blipFill>
                        <a:blip r:embed="rId2"/>
                        <a:srcRect/>
                        <a:stretch>
                          <a:fillRect/>
                        </a:stretch>
                      </pic:blipFill>
                      <pic:spPr bwMode="auto">
                        <a:xfrm>
                          <a:off x="0" y="0"/>
                          <a:ext cx="3552825" cy="657225"/>
                        </a:xfrm>
                        <a:prstGeom prst="rect">
                          <a:avLst/>
                        </a:prstGeom>
                        <a:noFill/>
                        <a:ln w="9525">
                          <a:noFill/>
                          <a:miter lim="800000"/>
                          <a:headEnd/>
                          <a:tailEnd/>
                        </a:ln>
                      </pic:spPr>
                    </pic:pic>
                  </a:graphicData>
                </a:graphic>
              </wp:inline>
            </w:drawing>
          </w:r>
          <w:bookmarkEnd w:id="7"/>
          <w:bookmarkEnd w:id="8"/>
        </w:p>
      </w:tc>
    </w:tr>
  </w:tbl>
  <w:p w:rsidR="006E3DC0" w:rsidRDefault="000B5655"/>
  <w:p w:rsidR="006E3DC0" w:rsidRDefault="000B56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C13"/>
    <w:multiLevelType w:val="hybridMultilevel"/>
    <w:tmpl w:val="D35ABC50"/>
    <w:lvl w:ilvl="0" w:tplc="E5A6BA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E31815"/>
    <w:multiLevelType w:val="hybridMultilevel"/>
    <w:tmpl w:val="21E49D98"/>
    <w:lvl w:ilvl="0" w:tplc="E5A6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530D"/>
    <w:multiLevelType w:val="hybridMultilevel"/>
    <w:tmpl w:val="BE647BA6"/>
    <w:lvl w:ilvl="0" w:tplc="50A8BAF4">
      <w:start w:val="1"/>
      <w:numFmt w:val="lowerRoman"/>
      <w:lvlText w:val="(%1)"/>
      <w:lvlJc w:val="left"/>
      <w:pPr>
        <w:ind w:left="1149" w:hanging="720"/>
      </w:pPr>
      <w:rPr>
        <w:rFonts w:cs="Times New Roman" w:hint="default"/>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3">
    <w:nsid w:val="4C0C3C80"/>
    <w:multiLevelType w:val="hybridMultilevel"/>
    <w:tmpl w:val="F8543C0A"/>
    <w:lvl w:ilvl="0" w:tplc="E5A6BA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4445C5"/>
    <w:rsid w:val="00020EC2"/>
    <w:rsid w:val="00042076"/>
    <w:rsid w:val="00054B4F"/>
    <w:rsid w:val="0007273C"/>
    <w:rsid w:val="000B5655"/>
    <w:rsid w:val="001C6463"/>
    <w:rsid w:val="001C79C4"/>
    <w:rsid w:val="0020344D"/>
    <w:rsid w:val="002A4DFA"/>
    <w:rsid w:val="00364A53"/>
    <w:rsid w:val="00436AD5"/>
    <w:rsid w:val="004445C5"/>
    <w:rsid w:val="00454D6C"/>
    <w:rsid w:val="00483650"/>
    <w:rsid w:val="00513F11"/>
    <w:rsid w:val="005730A8"/>
    <w:rsid w:val="006C71AA"/>
    <w:rsid w:val="006F48F3"/>
    <w:rsid w:val="00732B56"/>
    <w:rsid w:val="00742A4B"/>
    <w:rsid w:val="007E1F44"/>
    <w:rsid w:val="00882197"/>
    <w:rsid w:val="008B094E"/>
    <w:rsid w:val="0099040C"/>
    <w:rsid w:val="009B1C3F"/>
    <w:rsid w:val="00A35A69"/>
    <w:rsid w:val="00A56383"/>
    <w:rsid w:val="00BA32F1"/>
    <w:rsid w:val="00C401BA"/>
    <w:rsid w:val="00CD7432"/>
    <w:rsid w:val="00CF3F47"/>
    <w:rsid w:val="00DC278D"/>
    <w:rsid w:val="00DC6E7C"/>
    <w:rsid w:val="00E44E7D"/>
    <w:rsid w:val="00EC7F36"/>
    <w:rsid w:val="00ED3519"/>
    <w:rsid w:val="00F2106E"/>
    <w:rsid w:val="00F55972"/>
    <w:rsid w:val="00F76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C5"/>
    <w:pPr>
      <w:spacing w:after="0" w:line="312" w:lineRule="auto"/>
    </w:pPr>
    <w:rPr>
      <w:rFonts w:ascii="Arial" w:eastAsia="Times" w:hAnsi="Arial" w:cs="Times New Roman"/>
      <w:sz w:val="20"/>
      <w:szCs w:val="20"/>
    </w:rPr>
  </w:style>
  <w:style w:type="paragraph" w:styleId="Heading1">
    <w:name w:val="heading 1"/>
    <w:basedOn w:val="Normal"/>
    <w:next w:val="Normal"/>
    <w:link w:val="Heading1Char"/>
    <w:qFormat/>
    <w:rsid w:val="004445C5"/>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5C5"/>
    <w:rPr>
      <w:rFonts w:ascii="Arial" w:eastAsia="Times New Roman" w:hAnsi="Arial" w:cs="Times New Roman"/>
      <w:b/>
      <w:color w:val="000000"/>
      <w:sz w:val="28"/>
      <w:szCs w:val="20"/>
    </w:rPr>
  </w:style>
  <w:style w:type="paragraph" w:styleId="Footer">
    <w:name w:val="footer"/>
    <w:basedOn w:val="Normal"/>
    <w:link w:val="FooterChar"/>
    <w:rsid w:val="004445C5"/>
    <w:pPr>
      <w:tabs>
        <w:tab w:val="center" w:pos="4320"/>
        <w:tab w:val="right" w:pos="8640"/>
      </w:tabs>
    </w:pPr>
  </w:style>
  <w:style w:type="character" w:customStyle="1" w:styleId="FooterChar">
    <w:name w:val="Footer Char"/>
    <w:basedOn w:val="DefaultParagraphFont"/>
    <w:link w:val="Footer"/>
    <w:rsid w:val="004445C5"/>
    <w:rPr>
      <w:rFonts w:ascii="Arial" w:eastAsia="Times" w:hAnsi="Arial" w:cs="Times New Roman"/>
      <w:sz w:val="20"/>
      <w:szCs w:val="20"/>
    </w:rPr>
  </w:style>
  <w:style w:type="character" w:styleId="Hyperlink">
    <w:name w:val="Hyperlink"/>
    <w:basedOn w:val="DefaultParagraphFont"/>
    <w:uiPriority w:val="99"/>
    <w:unhideWhenUsed/>
    <w:rsid w:val="004445C5"/>
    <w:rPr>
      <w:color w:val="0000FF"/>
      <w:u w:val="single"/>
    </w:rPr>
  </w:style>
  <w:style w:type="character" w:styleId="CommentReference">
    <w:name w:val="annotation reference"/>
    <w:basedOn w:val="DefaultParagraphFont"/>
    <w:rsid w:val="004445C5"/>
    <w:rPr>
      <w:sz w:val="16"/>
      <w:szCs w:val="16"/>
    </w:rPr>
  </w:style>
  <w:style w:type="paragraph" w:styleId="CommentText">
    <w:name w:val="annotation text"/>
    <w:basedOn w:val="Normal"/>
    <w:link w:val="CommentTextChar"/>
    <w:rsid w:val="004445C5"/>
    <w:pPr>
      <w:spacing w:line="240" w:lineRule="auto"/>
    </w:pPr>
  </w:style>
  <w:style w:type="character" w:customStyle="1" w:styleId="CommentTextChar">
    <w:name w:val="Comment Text Char"/>
    <w:basedOn w:val="DefaultParagraphFont"/>
    <w:link w:val="CommentText"/>
    <w:rsid w:val="004445C5"/>
    <w:rPr>
      <w:rFonts w:ascii="Arial" w:eastAsia="Times" w:hAnsi="Arial" w:cs="Times New Roman"/>
      <w:sz w:val="20"/>
      <w:szCs w:val="20"/>
    </w:rPr>
  </w:style>
  <w:style w:type="paragraph" w:customStyle="1" w:styleId="000">
    <w:name w:val="0.00"/>
    <w:basedOn w:val="Normal"/>
    <w:uiPriority w:val="99"/>
    <w:rsid w:val="004445C5"/>
    <w:pPr>
      <w:tabs>
        <w:tab w:val="left" w:pos="624"/>
      </w:tabs>
      <w:spacing w:before="120" w:line="240" w:lineRule="auto"/>
      <w:ind w:left="624" w:hanging="624"/>
      <w:jc w:val="both"/>
    </w:pPr>
    <w:rPr>
      <w:rFonts w:eastAsia="Times New Roman" w:cs="Arial"/>
      <w:sz w:val="22"/>
      <w:szCs w:val="24"/>
      <w:lang w:val="en-GB"/>
    </w:rPr>
  </w:style>
  <w:style w:type="paragraph" w:customStyle="1" w:styleId="parai-aa-00">
    <w:name w:val="para(i)-(aa)-00"/>
    <w:basedOn w:val="Normal"/>
    <w:uiPriority w:val="99"/>
    <w:rsid w:val="004445C5"/>
    <w:pPr>
      <w:tabs>
        <w:tab w:val="right" w:pos="1588"/>
        <w:tab w:val="left" w:pos="1701"/>
      </w:tabs>
      <w:spacing w:before="120" w:line="240" w:lineRule="auto"/>
      <w:ind w:left="1701" w:hanging="1701"/>
      <w:jc w:val="both"/>
    </w:pPr>
    <w:rPr>
      <w:rFonts w:ascii="Times New Roman" w:eastAsia="Times New Roman" w:hAnsi="Times New Roman"/>
      <w:sz w:val="22"/>
      <w:lang w:val="en-GB" w:eastAsia="ja-JP"/>
    </w:rPr>
  </w:style>
  <w:style w:type="paragraph" w:customStyle="1" w:styleId="Clause2Sub">
    <w:name w:val="Clause2Sub"/>
    <w:basedOn w:val="Normal"/>
    <w:link w:val="Clause2SubChar"/>
    <w:rsid w:val="004445C5"/>
    <w:pPr>
      <w:numPr>
        <w:ilvl w:val="1"/>
        <w:numId w:val="4"/>
      </w:numPr>
      <w:spacing w:after="240" w:line="360" w:lineRule="atLeast"/>
      <w:jc w:val="both"/>
    </w:pPr>
    <w:rPr>
      <w:rFonts w:eastAsia="Times New Roman"/>
      <w:lang w:val="en-GB" w:eastAsia="en-GB"/>
    </w:rPr>
  </w:style>
  <w:style w:type="paragraph" w:customStyle="1" w:styleId="Clause1Head">
    <w:name w:val="Clause1Head"/>
    <w:basedOn w:val="Normal"/>
    <w:next w:val="Normal"/>
    <w:link w:val="Clause1HeadChar"/>
    <w:rsid w:val="004445C5"/>
    <w:pPr>
      <w:keepNext/>
      <w:numPr>
        <w:numId w:val="4"/>
      </w:numPr>
      <w:spacing w:after="240" w:line="360" w:lineRule="atLeast"/>
      <w:jc w:val="both"/>
    </w:pPr>
    <w:rPr>
      <w:rFonts w:eastAsia="Times New Roman"/>
      <w:b/>
      <w:lang w:val="en-GB" w:eastAsia="en-GB"/>
    </w:rPr>
  </w:style>
  <w:style w:type="paragraph" w:customStyle="1" w:styleId="Clause3Sub">
    <w:name w:val="Clause3Sub"/>
    <w:basedOn w:val="Normal"/>
    <w:rsid w:val="004445C5"/>
    <w:pPr>
      <w:numPr>
        <w:ilvl w:val="2"/>
        <w:numId w:val="4"/>
      </w:numPr>
      <w:spacing w:after="240" w:line="360" w:lineRule="atLeast"/>
      <w:jc w:val="both"/>
    </w:pPr>
    <w:rPr>
      <w:rFonts w:eastAsia="Times New Roman"/>
      <w:lang w:val="en-GB" w:eastAsia="en-GB"/>
    </w:rPr>
  </w:style>
  <w:style w:type="paragraph" w:customStyle="1" w:styleId="Clause4Sub">
    <w:name w:val="Clause4Sub"/>
    <w:basedOn w:val="Normal"/>
    <w:rsid w:val="004445C5"/>
    <w:pPr>
      <w:numPr>
        <w:ilvl w:val="3"/>
        <w:numId w:val="4"/>
      </w:numPr>
      <w:spacing w:after="240" w:line="360" w:lineRule="atLeast"/>
      <w:jc w:val="both"/>
    </w:pPr>
    <w:rPr>
      <w:rFonts w:eastAsia="Times New Roman"/>
      <w:lang w:val="en-GB" w:eastAsia="en-GB"/>
    </w:rPr>
  </w:style>
  <w:style w:type="paragraph" w:customStyle="1" w:styleId="Clause5Sub">
    <w:name w:val="Clause5Sub"/>
    <w:basedOn w:val="Normal"/>
    <w:rsid w:val="004445C5"/>
    <w:pPr>
      <w:numPr>
        <w:ilvl w:val="4"/>
        <w:numId w:val="4"/>
      </w:numPr>
      <w:spacing w:after="240" w:line="360" w:lineRule="atLeast"/>
      <w:jc w:val="both"/>
    </w:pPr>
    <w:rPr>
      <w:rFonts w:eastAsia="Times New Roman"/>
      <w:lang w:val="en-GB" w:eastAsia="en-GB"/>
    </w:rPr>
  </w:style>
  <w:style w:type="paragraph" w:customStyle="1" w:styleId="Clause6Sub">
    <w:name w:val="Clause6Sub"/>
    <w:basedOn w:val="Normal"/>
    <w:rsid w:val="004445C5"/>
    <w:pPr>
      <w:numPr>
        <w:ilvl w:val="5"/>
        <w:numId w:val="4"/>
      </w:numPr>
      <w:spacing w:after="240" w:line="360" w:lineRule="atLeast"/>
      <w:jc w:val="both"/>
    </w:pPr>
    <w:rPr>
      <w:rFonts w:eastAsia="Times New Roman"/>
      <w:lang w:val="en-GB" w:eastAsia="en-GB"/>
    </w:rPr>
  </w:style>
  <w:style w:type="paragraph" w:customStyle="1" w:styleId="Clause7Sub">
    <w:name w:val="Clause7Sub"/>
    <w:basedOn w:val="Normal"/>
    <w:rsid w:val="004445C5"/>
    <w:pPr>
      <w:numPr>
        <w:ilvl w:val="6"/>
        <w:numId w:val="4"/>
      </w:numPr>
      <w:spacing w:after="240" w:line="360" w:lineRule="atLeast"/>
      <w:jc w:val="both"/>
    </w:pPr>
    <w:rPr>
      <w:rFonts w:eastAsia="Times New Roman"/>
      <w:lang w:val="en-GB" w:eastAsia="en-GB"/>
    </w:rPr>
  </w:style>
  <w:style w:type="paragraph" w:customStyle="1" w:styleId="Clause8Sub">
    <w:name w:val="Clause8Sub"/>
    <w:basedOn w:val="Normal"/>
    <w:rsid w:val="004445C5"/>
    <w:pPr>
      <w:numPr>
        <w:ilvl w:val="7"/>
        <w:numId w:val="4"/>
      </w:numPr>
      <w:spacing w:after="240" w:line="360" w:lineRule="atLeast"/>
      <w:jc w:val="both"/>
    </w:pPr>
    <w:rPr>
      <w:rFonts w:eastAsia="Times New Roman"/>
      <w:lang w:val="en-GB" w:eastAsia="en-GB"/>
    </w:rPr>
  </w:style>
  <w:style w:type="paragraph" w:customStyle="1" w:styleId="Clause9Sub">
    <w:name w:val="Clause9Sub"/>
    <w:basedOn w:val="Normal"/>
    <w:rsid w:val="004445C5"/>
    <w:pPr>
      <w:numPr>
        <w:ilvl w:val="8"/>
        <w:numId w:val="4"/>
      </w:numPr>
      <w:spacing w:after="240" w:line="360" w:lineRule="atLeast"/>
      <w:jc w:val="both"/>
    </w:pPr>
    <w:rPr>
      <w:rFonts w:eastAsia="Times New Roman"/>
      <w:lang w:val="en-GB" w:eastAsia="en-GB"/>
    </w:rPr>
  </w:style>
  <w:style w:type="character" w:customStyle="1" w:styleId="Clause2SubChar">
    <w:name w:val="Clause2Sub Char"/>
    <w:basedOn w:val="DefaultParagraphFont"/>
    <w:link w:val="Clause2Sub"/>
    <w:rsid w:val="004445C5"/>
    <w:rPr>
      <w:rFonts w:ascii="Arial" w:eastAsia="Times New Roman" w:hAnsi="Arial" w:cs="Times New Roman"/>
      <w:sz w:val="20"/>
      <w:szCs w:val="20"/>
      <w:lang w:val="en-GB" w:eastAsia="en-GB"/>
    </w:rPr>
  </w:style>
  <w:style w:type="character" w:customStyle="1" w:styleId="Clause1HeadChar">
    <w:name w:val="Clause1Head Char"/>
    <w:basedOn w:val="DefaultParagraphFont"/>
    <w:link w:val="Clause1Head"/>
    <w:rsid w:val="004445C5"/>
    <w:rPr>
      <w:rFonts w:ascii="Arial" w:eastAsia="Times New Roman" w:hAnsi="Arial" w:cs="Times New Roman"/>
      <w:b/>
      <w:sz w:val="20"/>
      <w:szCs w:val="20"/>
      <w:lang w:val="en-GB" w:eastAsia="en-GB"/>
    </w:rPr>
  </w:style>
  <w:style w:type="paragraph" w:styleId="BalloonText">
    <w:name w:val="Balloon Text"/>
    <w:basedOn w:val="Normal"/>
    <w:link w:val="BalloonTextChar"/>
    <w:uiPriority w:val="99"/>
    <w:semiHidden/>
    <w:unhideWhenUsed/>
    <w:rsid w:val="004445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C5"/>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042555">
      <w:bodyDiv w:val="1"/>
      <w:marLeft w:val="0"/>
      <w:marRight w:val="0"/>
      <w:marTop w:val="0"/>
      <w:marBottom w:val="0"/>
      <w:divBdr>
        <w:top w:val="none" w:sz="0" w:space="0" w:color="auto"/>
        <w:left w:val="none" w:sz="0" w:space="0" w:color="auto"/>
        <w:bottom w:val="none" w:sz="0" w:space="0" w:color="auto"/>
        <w:right w:val="none" w:sz="0" w:space="0" w:color="auto"/>
      </w:divBdr>
    </w:div>
    <w:div w:id="18753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9964-A204-4002-B501-98649AEC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CraigR</dc:creator>
  <cp:keywords/>
  <dc:description/>
  <cp:lastModifiedBy>CraigR</cp:lastModifiedBy>
  <cp:revision>2</cp:revision>
  <cp:lastPrinted>2010-11-08T09:04:00Z</cp:lastPrinted>
  <dcterms:created xsi:type="dcterms:W3CDTF">2010-12-17T09:42:00Z</dcterms:created>
  <dcterms:modified xsi:type="dcterms:W3CDTF">2010-12-17T09:42:00Z</dcterms:modified>
</cp:coreProperties>
</file>